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  <w:shd w:val="clear" w:fill="FFFFFF" w:color="auto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ОТЧЕТ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  <w:shd w:val="clear" w:fill="FFFFFF" w:color="auto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об исполнении Плана работы должностных лиц, ответственны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х за работу по профилактике корр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упционных и иных правонарушений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,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  <w:shd w:val="clear" w:fill="FFFFFF" w:color="auto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за 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1 кв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артал 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shd w:val="clear" w:fill="FFFFFF" w:color="auto"/>
          <w:lang w:eastAsia="en-US"/>
        </w:rPr>
        <w:t xml:space="preserve">2023 года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center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tbl>
      <w:tblPr>
        <w:tblW w:w="982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4177"/>
        <w:gridCol w:w="5069"/>
      </w:tblGrid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п/п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Совершенствование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нормативной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базы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Мониторинг действующего законодательства Российской Федерации, Ямало-Ненецкого автономного округа в сфере противодействия коррупции на предмет его изменения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        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 внесены изменения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02 марта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      № 25-ФЗ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устанавливающие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На основании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Указа Президента РФ от 29 декабря 2022 г. № 968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1" w:tooltip="http://pravo.gov.ru/proxy/ips/?docbody=&amp;prevDoc=603637722&amp;backlink=1&amp;&amp;nd=102126657" w:history="1">
              <w:r>
                <w:rPr>
                  <w:rStyle w:val="820"/>
                  <w:rFonts w:ascii="Liberation Serif" w:hAnsi="Liberation Serif" w:cs="Liberation Serif" w:eastAsia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мониторинга: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информация об указанных изменениях с разъяснением сути их содержания направлена в структурные подразделения Администрации Пуровского района;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 совещании с должностными лицами, ответственными за работу по профил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ике коррупционных и иных правонарушений, даны разъяснения по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Указу Президента РФ от 29 декабря 2022 г. 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 в период проведения СВО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ind w:right="-1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Разработка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утверждение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"https://pandia.ru/text/category/pravovie_akti/" \o "Правовые акты"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сфере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текущем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униципальны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 правовые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акт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  не принимались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мероприятий по своевременному представлению муниципальными служащими, руководителями муниципальных учреждений полных и достоверных 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доходах, расходах, об имуществе и обязательствах имущественного характера, представления муниципальными служащими сведений об адресах сайтов и (или) страниц сайтов  (проведение семинаров, размещение материалов по разъяснению порядка заполнения сведений)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Организовано представление сведений: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муниципальным служащим, руководителям муниципальных учреждений направлены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письма об обязательстве и сроках представления сведений о доходах, расходах, об имуществе и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бя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зательствах имущественного характера, а также сведений об адресах сайтов;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муниципальным служащим и руководителям муни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ципальных учреждений направлен Обзор типичных ошибок, допускаемых при заполнении справок о доходах, расходах, об имуществе и обязательствах имущественного характера с напоминанием сроков представления указанных сведений, а также сведений об адресах сайтов;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Методические рекомендации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вопросам представления сведений о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доходах и заполнения соответствующей формы справки в 2022 году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Минтруда России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 на официальном сайте муниципального округа Пуровский район в разделе «Противодействие коррупции»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ведено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11 совещани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й по вопросам представления сведений о доходах, расходах, об имуществ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 обязательствах имущественного характера 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 лекционных мероприятия в структурных подразделениях Администрации Пуровского района с использованием наглядных материалов по заполнению справок о доходах с использованием СПО «Справки БК»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94 консультаци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8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 об адресах сайтов и (или) страниц сайтов в информационно-телекоммуникационной сети Интернет, на которых размещали общедоступную информацию, а также данные, позволяющие их идентифицировать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806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гражданин, претендующий на замещение должности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41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муниципальный служащий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410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655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19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служащими, должности которых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включены в соответствующий перечень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50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сведения представили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323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110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служащими, замещающими должность, не предусмотренную перечнем должностей, и претендующими на замещение должности муниципальной службы, предусмотренной этим перечнем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18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8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руководителями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64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по опубликованию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а также членов их семей на официальном сайте муниципального округа Пуровский район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В период проведения специальной военной операции до издания соответствующих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нормативных правовых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актов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ствах имущественного характера, представляемых в соответствии с Федеральным законом </w:t>
            </w:r>
            <w:hyperlink r:id="rId12" w:tooltip="http://pravo.gov.ru/proxy/ips/?docbody=&amp;prevDoc=603637722&amp;backlink=1&amp;&amp;nd=102126657" w:history="1">
              <w:r>
                <w:rPr>
                  <w:rStyle w:val="820"/>
                  <w:rFonts w:ascii="Liberation Serif" w:hAnsi="Liberation Serif" w:cs="Liberation Serif" w:eastAsia="Liberation Serif"/>
                  <w:color w:val="000000" w:themeColor="text1"/>
                  <w:sz w:val="24"/>
                  <w:highlight w:val="white"/>
                  <w:u w:val="none"/>
                </w:rPr>
                <w:t xml:space="preserve">от 25 декабря 2008 г. № 273-ФЗ</w:t>
              </w:r>
            </w:hyperlink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u w:val="none"/>
              </w:rPr>
              <w:t xml:space="preserve"> «О противодействии коррупции» и другими федеральными законами, и предоставление таких сведений общероссийским средствам массовой информ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ации для опубликования не осуществляются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 Президента РФ от 29 декабря 2022 г. 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уточненных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наличии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таких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доходах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расходах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обязательствах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имущественного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характера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 анализ сведений, представленных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145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муниципальными служащими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соблюдения ограничений, </w:t>
            </w: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запретов, требований, направленных на предотвращение или урегулирование конфликта интересов, а также соблюдение исполнения обязанностей, установленных федеральными законами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Прием и рассмотрение сообщений коррупционной направленности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restart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поступило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11 уведомлений о возможном возникновении конфликта интересов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6 муниципальных служащих. Работодателем приняты меры по урегулированию конфликта интересов.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Поступило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9 сообщений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организаций о заключении трудовых договоров с бывшими муниципа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ьными служащими. Подготовлен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 9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мотивированных заключения об отсутствии оснований для рассмотрения на комиссии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uto" w:line="24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Поступило 2 уведомления о намерении выполнять иную оплачиваемую работу, по результатам рассмотрения которых конфликт интересов, связанный с выполнением указанной работы, не установлен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cantSplit/>
          <w:trHeight w:val="33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33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о фактах обращения в целях склонения к совершению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коррупционных правонарушений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15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i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 намерении выполнять иную оплачиваемую работу (о выполнении иной оплачиваемой работы)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301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уведомление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получении подарка в связи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с протокольными мероприятиями, со служебными командировками и другими официальными мероприятиями, участие в которых связано с исполнением должностных обязанностей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79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заявление о невозможности представить сведения о доходах на супруга(гу)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150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K "https://puradm.ru/deyatelnost/protivodeystvie-korruptsii-2019/formy-dokumentov-svyazannykh-s-protivodeystviem-korruptsii-dlya-zapolneniya/%D0%9E%D0%B1%D1%80%D0%B0%D1%89%D0%B5%D0%BD%D0%B8%D0%B5%20%D0%B3%D1%80%D0%B0%D0%B6%D0%B4%D0%B0%D0%BD%D0%B8%D0%BD%D0%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B0,%20%D0%B7%D0%B0%D0%BC%D0%B5%D1%89%D0%B0%D0%B2%D1%88%D0%B5%D0%B3%D0%BE%20%D0%B4%D0%BE%D0%BB%D0%B6%D0%BD%D0%BE%D1%81%D1%82%D1%8C%20%D0%BC%D1%83%D0%BD%D0%B8%D1%86%D0%B8%D0%BF%D0%B0%D0%BB%D1%8C%D0%BD%D0%BE%D0%B9%20%D1%81%D0%BB%D1%83%D0%B6%D0%B1%D1%8B.docx"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обращение гражданина, замещавшего должность муниципальной службы, муниципального служащего, планирующего увольнение, о даче согласия на замещение на условиях трудового договора должности в организации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12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1753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сообщение организации о заключении трудового договора с бывшим муниципальным служащим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607"/>
        </w:trPr>
        <w:tc>
          <w:tcPr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Style w:val="869"/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69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ходатайства об участии в управлении некоммерческой организации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vMerge w:val="continue"/>
            <w:textDirection w:val="lrTb"/>
            <w:noWrap w:val="false"/>
          </w:tcPr>
          <w:p>
            <w:pPr>
              <w:pStyle w:val="838"/>
              <w:jc w:val="center"/>
              <w:tabs>
                <w:tab w:val="left" w:pos="6663" w:leader="none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70"/>
              <w:jc w:val="both"/>
              <w:spacing w:lineRule="atLeast" w:line="283" w:after="0" w:afterAutospacing="0" w:before="0" w:beforeAutospacing="0"/>
              <w:shd w:val="clear" w:fill="FFFFFF" w:color="auto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должностей муниципальной службы, на предмет наличия близкого родства и свойства с муниципальными служащими при условии подчиненности должностных лиц.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0"/>
              <w:jc w:val="both"/>
              <w:spacing w:lineRule="atLeast" w:line="283" w:after="0" w:afterAutospacing="0" w:before="0" w:beforeAutospacing="0"/>
              <w:shd w:val="clear" w:fill="FFFFFF" w:color="auto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Анализ анкет и иных документов, представленных гражданами, претендующими на замещение должно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стей руководителей муниципальных учреждений, на предмет наличия близкого родства и свойства с работником муниципального учреждения, трудовая деятельность которого связана с осуществлением финансово-хозяйственных полномочий в данном муниципальном учреждении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ри приеме документов для назначения на должность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проанализирован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 свед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ения анкет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15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претендент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на должности муниципальной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случаи конфликта интересов не установлены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4823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сведений, содержащихся в личных делах, о родственных и свойственных связях должностного лица в целях выявления возможного конфликта интересов, контроль за актуализацией сведений, содержащихся в анкетах, представляемых при назначении на должности,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беспечение соблюдения муниципальными служащими, руководителями муниципальных учреждений запретов, ограничений и требований, установленных законодательством о противодействии коррупции, а также своевременное принятие мер к предотвращению конфликта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анализ анкетных данных 44 муниципальных служащих.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Установлено  10 случаев близкого родства (свойства),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не связанных с непосредственной прямой подчиненностью и подконтрольностью одного из них другому (родственные связи в других муниципальных учреждениях,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района), конфликт интересов не установлен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существлен анализ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сведений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(в части, касающейся профилактики коррупционных правонарушений)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представленных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15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претендующим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на замещение должности муниципальной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ведений о несоблюдении ограничений и запретов, связанных с муниципальной службой, не установлено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Анализ поступивших обращений граждан и организаций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предмет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наличия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фактах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неправомерных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действиях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обращения не поступали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Мониторинг деятельности испол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нения должностных обязанностей муниципальными служащими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В отчетном периоде мероприятие не проводилось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работы, направленной на выявление личной заинтересованности, которая приводит или может привести к конфликту интересов, при осуществлении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Сформирован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перечень закупок 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перечень лиц, участвующих в закупках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в 2023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году.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Созданы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профили: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муниципальных служащих, принимающих участие в закупочной деятельности (42).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организаций (участников в закупках)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highlight w:val="white"/>
              </w:rPr>
              <w:t xml:space="preserve">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Обновлены декларации о личной заинтересованности муниципальных служащих (2).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4"/>
              <w:ind w:firstLine="0"/>
              <w:spacing w:lineRule="atLeast" w:line="283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lang w:val="ru-RU"/>
              </w:rPr>
              <w:t xml:space="preserve">По итогам проведенных мероприятий нарушений, связанных с наличием близкого родства (свойства), между участни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  <w:lang w:val="ru-RU"/>
              </w:rPr>
              <w:t xml:space="preserve">ками закупок не выявлено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3.8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871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в течение двух лет после увольнения с муниципальной 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одготовлена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информация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 соблюдении установленного законодательства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в отн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шении 96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бывших муниципальных служащих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, по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41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из которых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отсутствуют уведомления о трудоустройстве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. В рамках исполнения соглашения о взаимодействии при проведении проверок соблюдения порядка заключения трудового договора или гражданско-правового договора  с гражданином, замещавшим должность муниципальной службы, установленного ст. 12 Федера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льного закона от 25 декабря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2008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№ 273-ФЗ «О прот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иводействии коррупции» от 26 декабря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2018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указанная информация 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направлена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highlight w:val="white"/>
              </w:rPr>
              <w:t xml:space="preserve">в прокуратуру Пуровского района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Проведение проверок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достоверности и полноты сведений о доходах, об имуществе и обязательствах имущественного характера представленных: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гражданами, претендующими на замещение должностей муниципальной службы;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муниципальными служащими;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гражданами, претендующими на замещение должностей руководителей муниципальных учреждений;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руководителями муниципальных учреждений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роверки не проводились в виду отсутствия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оснований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Проверка соблюдения муниципальными служащими, руководителями муниципальных учреждений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"consultantplus://offline/ref=E222518227DAD9705D3BAB3830D43932B6B518FAD620F50047A24A87200E7B434604D42E0DD829467D079A8615x1E3G"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25 декабря 2008 года № 273-ФЗ «О противодействии коррупции», другими федеральными законами и иными правовыми актами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Назначена 1 проверка по факту несоблюдения муниципальным служащим требований о предотвращении или урегулировании конфликта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Осуществление контроля за соответствием расходов лиц, замещающих должности муниципальной службы, расходов его супруги (супруга) и несовершеннолетних детей доходу данных лиц и их супруги (супруга) в случаях и порядке, установленных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begin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instrText xml:space="preserve"> HYPERLINK "https://docs.cntd.ru/document/902383514" </w:instrTex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fldChar w:fldCharType="separate"/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t xml:space="preserve">от 03 декабря 2012 года № 230-ФЗ «О контроле за соответствием расходов лиц, замещающих государственные должности, и иных лиц их доходам</w:t>
            </w:r>
            <w:r>
              <w:rPr>
                <w:rStyle w:val="866"/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u w:val="none"/>
                <w:shd w:val="clear" w:fill="FFFFFF" w:color="auto"/>
              </w:rPr>
              <w:fldChar w:fldCharType="end"/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соответствии с 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остановление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Губернатора ЯНАО от 28.01.2021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10-ПГ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 утверждении Порядка принятия решения об осуще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ствлении контроля за расходами лиц, замещающими государственные должности Ямало-Ненецкого автономного округа, и иных лиц» сведения 1 муниципального служащего направлены в уполномоченный орган для принятия решения об осуществ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лени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контроля за расходами.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результатам рассмотрения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-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вания для принятия решения об осуществлении контроля за расходами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Обеспечение антикоррупционного просвещения муниципальных 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равлены информационные письма в структурные подразделения Администрации Пуровского района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внесенных изменениях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ый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закон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02 марта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2007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      № 25-ФЗ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«О муниципальной службе в РФ (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Федеральным законом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05 декабря 2022 года №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498-ФЗ «О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), устанавливающих дополнительное ограничение, связанное с прохождением муниципальной службы: муниципальный служащий не может находиться на муниципальной службе в случае приобретения им статуса иностранного агента.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 совещании с должностными лицами, ответственными за работу по профил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актике коррупционных и иных правонарушений, даны разъяснения по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Указу Президента РФ от 29 декабря 2022 г. № 968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в части неразмещения сведений о доходах, расходах, об имуществе и обязательствах имущественного характера, а также в части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исполнения обязанностей, соблюдения 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ограничений</w:t>
            </w:r>
            <w:r>
              <w:rPr>
                <w:rFonts w:ascii="Liberation Serif" w:hAnsi="Liberation Serif" w:cs="Liberation Serif" w:eastAsia="Liberation Serif"/>
                <w:b w:val="false"/>
                <w:bCs w:val="false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 и запретов в области противодействия коррупции некоторых категорий граждан в период проведения СВО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практических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семинаров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совещаний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тематике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служащих, ответственных должностных лиц за профилактику коррупционных правонарушений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роведено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совещани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(протокол от 08 февраля 2023 года № 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. Рассмотрен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вопрос: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алгоритм действий при применении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Подготовка методических рекомендаций по вопросам 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служащих (памятки, буклеты, плакаты, видеоролики и др.)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Разработаны и распространены методические, наглядные материалы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антикоррупционной тематики (2).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В том числе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 памятки: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 памятка «Порядок применения взыскания за коррупционное правонарушение»;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spacing w:lineRule="atLeast" w:line="283" w:after="0" w:afterAutospacing="0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- памятка «Обзор типичных ошибок, допускаемых при заполнении справок о доходах, расходах, об имуществе и обязательствах имущественного характера»;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9"/>
              <w:jc w:val="both"/>
              <w:spacing w:lineRule="atLeast" w:line="283" w:after="0" w:afterAutospacing="0" w:before="0" w:beforeAutospacing="0"/>
              <w:shd w:val="clear" w:fill="FFFFFF" w:color="auto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- «Графическая модель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highlight w:val="white"/>
              </w:rPr>
              <w:t xml:space="preserve">в 2023 году (за отчетный 2022 год)»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5.4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 консультативной помощи по вопросам, связанным с применением на практике законодательства Российской Федерации в сфере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аны разъяснения по применению законодательства по закупочной деятельности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 муниципальных учреждений (оказана консультативная помощь по рассмотрению ситуации о возможности возникновения личной заинтересованности)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Обеспечение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размещения на официальном сайте муниципального округа Пуровский район, стендах, в социальных сетях актуальной информации об антикоррупционной деятельности, наглядных агитационных просветительских материалов по вопросам и проблемам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разделе «Противодействие коррупции» официального сайта муниципального округа Пуровский район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размещены: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етодические рекомендации по заполнению сведений о доходах 2023 года;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за 2022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отчет об исполнении плана работы должностных лиц, ответственных за работу по профилактике коррупционных и иных правонарушений за 2022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план работы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на 2023 год;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план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работы должностных лиц, ответственных за работу по профилактике коррупционных и иных правонарушений на 2023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информация о деятельности межведомственного Совета при Главе Пуровского района по противодействию коррупции (план работы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протокол заседания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5.6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вводные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тренинги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поступающих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муниципальную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службу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разъяснение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ограничений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налагаемых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граждан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увольнения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службы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265" w:leader="none"/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оступающим на муниципальную службу представляется информационная ссылка на вводный курс по антик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оррупционной тематике (вебинар).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ри увольнении с муниципальной службы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проводится беседа об обязанности, предусмотренной ст. 12 Федерального закона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25 декабря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2008 года № 273-ФЗ «О противодействии коррупции»,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выдаются памятки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5.7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 мероприятий, посвященных Международному дню борьбы с коррупцией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Срок исполнения в декабре 2023 года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6.1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Направление материалов, являющихся основанием для проведения комиссии, обеспечение проведения заседаний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6.2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Размещение информации о планируемых заседаниях комиссии и о принятых решениях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отчетном периоде основания для заседаний комиссии отсутствуют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41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предупреждению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Осуществление контроля за соблюдением законодательства Российской Федерации о противодействии коррупции в муниципальных 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рамках контроля проведены проверочные мероприятия в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4 подведомственных учреждениях, нарушений законодательства в сфере противодействия коррупции не установлено.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итогам одной из указанных проверок 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аны рекомендации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>
          <w:trHeight w:val="3676"/>
        </w:trPr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Оказание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консультационной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помощи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подведомственным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том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реализации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статьи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13.3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Федерального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закона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25 декабря 2008 года № 273-ФЗ «О противодействии коррупции».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Организация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проведение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обучающих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разъяснительных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мероприятий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учреждениях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ходе проведения проверочных мероприятий должностным лицам, ответственным за работу по профилактике коррупционных и иных правонарушений в учреждениях оказана консультативная и методологическая помощь в целях организации деятельности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  <w:t xml:space="preserve"> по профилактике коррупционных правонарушений и приведению данной работы к единообразию, даны соответствующие рекомендации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gridSpan w:val="2"/>
            <w:tcW w:w="9245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мероприятия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вопросам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противодействия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8.1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keepNext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  <w:outlineLvl w:val="0"/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Обеспечение подготовки отчетности 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распоряжения Администрации Пуровского района от 25 февраля 2021 года № 85-РА, подготовка докладов, обзоров, информации по вопросам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одготовлен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 направлена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в установленные сроки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отчетность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  <w:szCs w:val="24"/>
                <w:highlight w:val="white"/>
              </w:rPr>
              <w:t xml:space="preserve">по исполнению распоряжения Губернатора Ямало-Ненецкого автономного округа от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27.02.2020 № 51-Р.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Подготовлены отчеты: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- об исполнении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Плана мероприятий по противодействию коррупции в Администрации Пуровского района 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 о ходе реализации мер по противодействию коррупции в Пуровском районе;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  <w:shd w:val="clear" w:fill="FFFFFF" w:color="auto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об исполнении Плана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работы должностных лиц, ответственных за работу по профилактике коррупционных и иных правонарушений в Администрации Пуровского района 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- об исполнении Плана работы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  <w:shd w:val="clear" w:fill="FFFFFF" w:color="auto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Еженедельно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подготавливалась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аналитическая информация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о ходе декларационной кампании.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Осуществлена подготовка: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 сводной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информации к заседанию комиссии по координации работы по противодействию коррупции в ЯНАО по вопросам: «О результатах работы правоохранительных органов по выявлению и расследованию преступлений коррупционной направленности»;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- доклада на межведомственный Совет при Главе Пуровского района по противодействию коррупции «деятельность должностных лиц, ответственных за работу по профилактике коррупционных и иных правонарушений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8.2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10 муниципальных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служащих прошли обучение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антикоррупционной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направленности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в том числе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5,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в чьи обязанности входит участие в противодействии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8.3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коррупции, в том числе их обучение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по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обучение 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муниципальных служащих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Для 11 граждан, принятых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на муниципальную службу, проведена первоначальная подготовка по ссылке на запись вебинара по противодействию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8.4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Обеспечено 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бучение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7 муниципальны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 служащи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, принимающих участие в закупочной деятельности, а также 1 муниципального служащего, осуществляющего работу профилактике личной заинтересованности в сфере закупочной деятельности;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77"/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color w:val="000000" w:themeColor="text1"/>
                <w:sz w:val="24"/>
                <w:highlight w:val="white"/>
              </w:rPr>
              <w:t xml:space="preserve">1 муниципальный служащий принял участие в бесплатной онлайн-конференции на тему: «Антикоррупционное просвещение»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  <w:tr>
        <w:trPr/>
        <w:tc>
          <w:tcPr>
            <w:tcW w:w="576" w:type="dxa"/>
            <w:vAlign w:val="top"/>
            <w:textDirection w:val="lrTb"/>
            <w:noWrap w:val="false"/>
          </w:tcPr>
          <w:p>
            <w:pPr>
              <w:pStyle w:val="838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8.5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4177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spacing w:lineRule="atLeast" w:line="283" w:after="0" w:afterAutospacing="0" w:before="0" w:beforeAutospacing="0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highlight w:val="white"/>
              </w:rPr>
              <w:t xml:space="preserve">Обновление размещенной на официальном сайте муниципального округа Пуровский район информации по вопросам противодействия коррупции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  <w:tc>
          <w:tcPr>
            <w:tcW w:w="5069" w:type="dxa"/>
            <w:vAlign w:val="top"/>
            <w:textDirection w:val="lrTb"/>
            <w:noWrap w:val="false"/>
          </w:tcPr>
          <w:p>
            <w:pPr>
              <w:pStyle w:val="838"/>
              <w:jc w:val="both"/>
              <w:spacing w:lineRule="atLeast" w:line="283"/>
              <w:tabs>
                <w:tab w:val="left" w:pos="6663" w:leader="none"/>
              </w:tabs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Осуществлено обновление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методических материалов</w:t>
            </w:r>
            <w:r>
              <w:rPr>
                <w:rFonts w:ascii="Liberation Serif" w:hAnsi="Liberation Serif" w:cs="Liberation Serif" w:eastAsia="Liberation Serif"/>
                <w:highlight w:val="white"/>
              </w:rPr>
            </w:r>
            <w:r/>
          </w:p>
        </w:tc>
      </w:tr>
    </w:tbl>
    <w:p>
      <w:pPr>
        <w:pStyle w:val="838"/>
        <w:spacing w:lineRule="atLeast" w:line="283"/>
        <w:tabs>
          <w:tab w:val="left" w:pos="666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spacing w:lineRule="atLeast" w:line="283"/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spacing w:lineRule="atLeast" w:line="283"/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38"/>
        <w:contextualSpacing w:val="true"/>
        <w:jc w:val="both"/>
        <w:spacing w:lineRule="exact" w:line="215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0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0"/>
          <w:szCs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sz w:val="16"/>
          <w:highlight w:val="white"/>
        </w:rPr>
      </w:r>
      <w:r/>
    </w:p>
    <w:sectPr>
      <w:headerReference w:type="first" r:id="rId9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imSun">
    <w:panose1 w:val="02000603000000000000"/>
  </w:font>
  <w:font w:name="Times New Roman">
    <w:panose1 w:val="02020603050405020304"/>
  </w:font>
  <w:font w:name="Calibri">
    <w:panose1 w:val="020F0502020204030204"/>
  </w:font>
  <w:font w:name="Verdana">
    <w:panose1 w:val="020B060603050402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  <w:p>
    <w:pPr>
      <w:pStyle w:val="8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838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69" w:hanging="360"/>
        <w:tabs>
          <w:tab w:val="num" w:pos="1069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29" w:hanging="180"/>
        <w:tabs>
          <w:tab w:val="num" w:pos="682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38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isLgl w:val="false"/>
        <w:suff w:val="tab"/>
        <w:lvlText w:val=""/>
        <w:legacy w:legacy="1" w:legacyIndent="0" w:legacySpace="0"/>
        <w:lvlJc w:val="left"/>
        <w:pPr>
          <w:pStyle w:val="838"/>
          <w:ind w:left="992" w:hanging="283"/>
        </w:pPr>
        <w:rPr>
          <w:rFonts w:ascii="Times New Roman" w:hAnsi="Times New Roman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uiPriority w:val="39"/>
    <w:unhideWhenUsed/>
    <w:pPr>
      <w:ind w:left="0" w:right="0" w:firstLine="0"/>
      <w:spacing w:after="57"/>
    </w:pPr>
  </w:style>
  <w:style w:type="paragraph" w:styleId="828">
    <w:name w:val="toc 2"/>
    <w:uiPriority w:val="39"/>
    <w:unhideWhenUsed/>
    <w:pPr>
      <w:ind w:left="283" w:right="0" w:firstLine="0"/>
      <w:spacing w:after="57"/>
    </w:pPr>
  </w:style>
  <w:style w:type="paragraph" w:styleId="829">
    <w:name w:val="toc 3"/>
    <w:uiPriority w:val="39"/>
    <w:unhideWhenUsed/>
    <w:pPr>
      <w:ind w:left="567" w:right="0" w:firstLine="0"/>
      <w:spacing w:after="57"/>
    </w:pPr>
  </w:style>
  <w:style w:type="paragraph" w:styleId="830">
    <w:name w:val="toc 4"/>
    <w:uiPriority w:val="39"/>
    <w:unhideWhenUsed/>
    <w:pPr>
      <w:ind w:left="850" w:right="0" w:firstLine="0"/>
      <w:spacing w:after="57"/>
    </w:pPr>
  </w:style>
  <w:style w:type="paragraph" w:styleId="831">
    <w:name w:val="toc 5"/>
    <w:uiPriority w:val="39"/>
    <w:unhideWhenUsed/>
    <w:pPr>
      <w:ind w:left="1134" w:right="0" w:firstLine="0"/>
      <w:spacing w:after="57"/>
    </w:pPr>
  </w:style>
  <w:style w:type="paragraph" w:styleId="832">
    <w:name w:val="toc 6"/>
    <w:uiPriority w:val="39"/>
    <w:unhideWhenUsed/>
    <w:pPr>
      <w:ind w:left="1417" w:right="0" w:firstLine="0"/>
      <w:spacing w:after="57"/>
    </w:pPr>
  </w:style>
  <w:style w:type="paragraph" w:styleId="833">
    <w:name w:val="toc 7"/>
    <w:uiPriority w:val="39"/>
    <w:unhideWhenUsed/>
    <w:pPr>
      <w:ind w:left="1701" w:right="0" w:firstLine="0"/>
      <w:spacing w:after="57"/>
    </w:pPr>
  </w:style>
  <w:style w:type="paragraph" w:styleId="834">
    <w:name w:val="toc 8"/>
    <w:uiPriority w:val="39"/>
    <w:unhideWhenUsed/>
    <w:pPr>
      <w:ind w:left="1984" w:right="0" w:firstLine="0"/>
      <w:spacing w:after="57"/>
    </w:pPr>
  </w:style>
  <w:style w:type="paragraph" w:styleId="835">
    <w:name w:val="toc 9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uiPriority w:val="99"/>
    <w:unhideWhenUsed/>
    <w:pPr>
      <w:spacing w:after="0" w:afterAutospacing="0"/>
    </w:pPr>
  </w:style>
  <w:style w:type="paragraph" w:styleId="838">
    <w:name w:val="Обычный"/>
    <w:next w:val="838"/>
    <w:link w:val="838"/>
    <w:rPr>
      <w:lang w:val="ru-RU" w:bidi="ar-SA" w:eastAsia="ru-RU"/>
    </w:rPr>
  </w:style>
  <w:style w:type="paragraph" w:styleId="839">
    <w:name w:val="Заголовок 1"/>
    <w:basedOn w:val="838"/>
    <w:next w:val="838"/>
    <w:link w:val="838"/>
    <w:rPr>
      <w:sz w:val="24"/>
    </w:rPr>
    <w:pPr>
      <w:keepNext/>
      <w:outlineLvl w:val="0"/>
    </w:pPr>
  </w:style>
  <w:style w:type="character" w:styleId="840">
    <w:name w:val="Основной шрифт абзаца, Знак Знак2"/>
    <w:next w:val="840"/>
    <w:link w:val="838"/>
    <w:semiHidden/>
  </w:style>
  <w:style w:type="table" w:styleId="841">
    <w:name w:val="Обычная таблица"/>
    <w:next w:val="841"/>
    <w:link w:val="838"/>
    <w:semiHidden/>
    <w:tblPr/>
  </w:style>
  <w:style w:type="numbering" w:styleId="842">
    <w:name w:val="Нет списка"/>
    <w:next w:val="842"/>
    <w:link w:val="838"/>
    <w:semiHidden/>
  </w:style>
  <w:style w:type="paragraph" w:styleId="843">
    <w:name w:val="Верхний колонтитул"/>
    <w:basedOn w:val="838"/>
    <w:next w:val="843"/>
    <w:link w:val="860"/>
    <w:rPr>
      <w:rFonts w:ascii="Courier New" w:hAnsi="Courier New"/>
      <w:lang w:val="en-US" w:eastAsia="en-US"/>
    </w:rPr>
    <w:pPr>
      <w:jc w:val="center"/>
    </w:pPr>
  </w:style>
  <w:style w:type="paragraph" w:styleId="844">
    <w:name w:val="Нижний колонтитул"/>
    <w:basedOn w:val="838"/>
    <w:next w:val="844"/>
    <w:link w:val="838"/>
  </w:style>
  <w:style w:type="paragraph" w:styleId="845">
    <w:name w:val="Дата постановления"/>
    <w:basedOn w:val="838"/>
    <w:next w:val="847"/>
    <w:link w:val="838"/>
    <w:rPr>
      <w:sz w:val="24"/>
    </w:rPr>
    <w:pPr>
      <w:jc w:val="center"/>
      <w:spacing w:before="120"/>
      <w:tabs>
        <w:tab w:val="left" w:pos="7796" w:leader="none"/>
      </w:tabs>
    </w:pPr>
  </w:style>
  <w:style w:type="character" w:styleId="846">
    <w:name w:val="Номер страницы"/>
    <w:basedOn w:val="840"/>
    <w:next w:val="846"/>
    <w:link w:val="838"/>
  </w:style>
  <w:style w:type="paragraph" w:styleId="847">
    <w:name w:val="Заголовок постановления"/>
    <w:basedOn w:val="838"/>
    <w:next w:val="848"/>
    <w:link w:val="838"/>
    <w:rPr>
      <w:i/>
      <w:sz w:val="24"/>
    </w:rPr>
    <w:pPr>
      <w:ind w:right="5102" w:firstLine="709"/>
      <w:spacing w:after="960" w:before="240"/>
    </w:pPr>
  </w:style>
  <w:style w:type="paragraph" w:styleId="848">
    <w:name w:val="Текст постановления"/>
    <w:basedOn w:val="838"/>
    <w:next w:val="848"/>
    <w:link w:val="838"/>
    <w:rPr>
      <w:sz w:val="24"/>
    </w:rPr>
    <w:pPr>
      <w:ind w:firstLine="709"/>
    </w:pPr>
  </w:style>
  <w:style w:type="paragraph" w:styleId="849">
    <w:name w:val="Подпись"/>
    <w:basedOn w:val="838"/>
    <w:next w:val="838"/>
    <w:link w:val="838"/>
    <w:rPr>
      <w:caps/>
      <w:sz w:val="24"/>
    </w:rPr>
    <w:pPr>
      <w:ind w:right="-567"/>
      <w:spacing w:before="1080"/>
      <w:tabs>
        <w:tab w:val="left" w:pos="7797" w:leader="none"/>
      </w:tabs>
    </w:pPr>
  </w:style>
  <w:style w:type="paragraph" w:styleId="850">
    <w:name w:val="Шапка"/>
    <w:basedOn w:val="838"/>
    <w:next w:val="850"/>
    <w:link w:val="838"/>
    <w:rPr>
      <w:caps/>
      <w:spacing w:val="40"/>
      <w:sz w:val="24"/>
    </w:rPr>
    <w:pPr>
      <w:jc w:val="center"/>
      <w:spacing w:before="1200"/>
    </w:pPr>
  </w:style>
  <w:style w:type="paragraph" w:styleId="851">
    <w:name w:val="Основной текст"/>
    <w:basedOn w:val="838"/>
    <w:next w:val="851"/>
    <w:link w:val="838"/>
    <w:rPr>
      <w:sz w:val="24"/>
    </w:rPr>
    <w:pPr>
      <w:jc w:val="both"/>
    </w:pPr>
  </w:style>
  <w:style w:type="paragraph" w:styleId="852">
    <w:name w:val="Основной текст с отступом"/>
    <w:basedOn w:val="838"/>
    <w:next w:val="852"/>
    <w:link w:val="838"/>
    <w:rPr>
      <w:sz w:val="24"/>
    </w:rPr>
    <w:pPr>
      <w:ind w:firstLine="709"/>
      <w:jc w:val="both"/>
    </w:pPr>
  </w:style>
  <w:style w:type="paragraph" w:styleId="853">
    <w:name w:val="Название"/>
    <w:basedOn w:val="838"/>
    <w:next w:val="853"/>
    <w:link w:val="838"/>
    <w:rPr>
      <w:b/>
      <w:caps/>
      <w:spacing w:val="120"/>
      <w:sz w:val="32"/>
    </w:rPr>
    <w:pPr>
      <w:jc w:val="center"/>
      <w:spacing w:before="120"/>
    </w:pPr>
  </w:style>
  <w:style w:type="table" w:styleId="854">
    <w:name w:val="Сетка таблицы"/>
    <w:basedOn w:val="841"/>
    <w:next w:val="854"/>
    <w:link w:val="838"/>
    <w:tblPr/>
  </w:style>
  <w:style w:type="paragraph" w:styleId="855">
    <w:name w:val="Текст выноски"/>
    <w:basedOn w:val="838"/>
    <w:next w:val="855"/>
    <w:link w:val="838"/>
    <w:semiHidden/>
    <w:rPr>
      <w:rFonts w:ascii="Tahoma" w:hAnsi="Tahoma"/>
      <w:sz w:val="16"/>
      <w:szCs w:val="16"/>
    </w:rPr>
  </w:style>
  <w:style w:type="paragraph" w:styleId="856">
    <w:name w:val="Знак1"/>
    <w:basedOn w:val="838"/>
    <w:next w:val="856"/>
    <w:link w:val="838"/>
    <w:rPr>
      <w:rFonts w:ascii="Verdana" w:hAnsi="Verdana"/>
      <w:lang w:val="en-US" w:eastAsia="en-US"/>
    </w:rPr>
    <w:pPr>
      <w:spacing w:lineRule="exact" w:line="240" w:after="160"/>
    </w:pPr>
  </w:style>
  <w:style w:type="paragraph" w:styleId="857">
    <w:name w:val="Верхний колонтитул1"/>
    <w:basedOn w:val="838"/>
    <w:next w:val="857"/>
    <w:link w:val="838"/>
    <w:pPr>
      <w:tabs>
        <w:tab w:val="center" w:pos="4153" w:leader="none"/>
        <w:tab w:val="right" w:pos="8306" w:leader="none"/>
      </w:tabs>
    </w:pPr>
  </w:style>
  <w:style w:type="paragraph" w:styleId="858">
    <w:name w:val="Шапка1"/>
    <w:basedOn w:val="838"/>
    <w:next w:val="858"/>
    <w:link w:val="838"/>
    <w:rPr>
      <w:caps/>
      <w:spacing w:val="40"/>
      <w:sz w:val="24"/>
    </w:rPr>
    <w:pPr>
      <w:jc w:val="center"/>
      <w:spacing w:before="1200"/>
    </w:pPr>
  </w:style>
  <w:style w:type="paragraph" w:styleId="859">
    <w:name w:val="Адрес на конверте1"/>
    <w:basedOn w:val="838"/>
    <w:next w:val="838"/>
    <w:link w:val="838"/>
    <w:rPr>
      <w:rFonts w:ascii="Arial" w:hAnsi="Arial"/>
      <w:sz w:val="16"/>
    </w:rPr>
    <w:pPr>
      <w:jc w:val="center"/>
      <w:spacing w:before="120"/>
    </w:pPr>
  </w:style>
  <w:style w:type="character" w:styleId="860">
    <w:name w:val="Верхний колонтитул Знак"/>
    <w:next w:val="860"/>
    <w:link w:val="843"/>
    <w:rPr>
      <w:rFonts w:ascii="Courier New" w:hAnsi="Courier New"/>
    </w:rPr>
  </w:style>
  <w:style w:type="paragraph" w:styleId="861">
    <w:name w:val="1"/>
    <w:basedOn w:val="838"/>
    <w:next w:val="861"/>
    <w:link w:val="838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862">
    <w:name w:val="Основной текст с отступом 3"/>
    <w:basedOn w:val="838"/>
    <w:next w:val="862"/>
    <w:link w:val="863"/>
    <w:rPr>
      <w:sz w:val="16"/>
      <w:szCs w:val="16"/>
      <w:lang w:val="en-US" w:eastAsia="en-US"/>
    </w:rPr>
    <w:pPr>
      <w:ind w:left="283"/>
      <w:spacing w:after="120"/>
    </w:pPr>
  </w:style>
  <w:style w:type="character" w:styleId="863">
    <w:name w:val="Основной текст с отступом 3 Знак"/>
    <w:next w:val="863"/>
    <w:link w:val="862"/>
    <w:rPr>
      <w:sz w:val="16"/>
      <w:szCs w:val="16"/>
    </w:rPr>
  </w:style>
  <w:style w:type="paragraph" w:styleId="864">
    <w:name w:val="Знак Знак Знак Знак"/>
    <w:basedOn w:val="838"/>
    <w:next w:val="864"/>
    <w:link w:val="838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865">
    <w:name w:val=" Знак Знак1"/>
    <w:basedOn w:val="838"/>
    <w:next w:val="865"/>
    <w:link w:val="838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character" w:styleId="866">
    <w:name w:val="Гиперссылка"/>
    <w:next w:val="866"/>
    <w:link w:val="838"/>
    <w:rPr>
      <w:color w:val="0000FF"/>
      <w:u w:val="single"/>
    </w:rPr>
  </w:style>
  <w:style w:type="paragraph" w:styleId="867">
    <w:name w:val="ConsPlusNormal"/>
    <w:next w:val="867"/>
    <w:link w:val="838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868">
    <w:name w:val="ConsNormal"/>
    <w:next w:val="868"/>
    <w:link w:val="838"/>
    <w:rPr>
      <w:rFonts w:ascii="Arial" w:hAnsi="Arial" w:eastAsia="Calibri"/>
      <w:lang w:val="ru-RU" w:bidi="ar-SA" w:eastAsia="ru-RU"/>
    </w:rPr>
    <w:pPr>
      <w:ind w:firstLine="720"/>
      <w:jc w:val="both"/>
      <w:widowControl w:val="off"/>
    </w:pPr>
  </w:style>
  <w:style w:type="character" w:styleId="869">
    <w:name w:val="Основной текст1"/>
    <w:next w:val="869"/>
    <w:link w:val="838"/>
    <w:rPr>
      <w:rFonts w:ascii="Times New Roman" w:hAnsi="Times New Roman" w:eastAsia="Times New Roman"/>
      <w:color w:val="000000"/>
      <w:spacing w:val="6"/>
      <w:position w:val="0"/>
      <w:shd w:val="clear" w:fill="FFFFFF" w:color="auto"/>
      <w:lang w:val="ru-RU" w:bidi="ru-RU" w:eastAsia="ru-RU"/>
    </w:rPr>
  </w:style>
  <w:style w:type="paragraph" w:styleId="870">
    <w:name w:val="formattext"/>
    <w:basedOn w:val="838"/>
    <w:next w:val="870"/>
    <w:link w:val="838"/>
    <w:rPr>
      <w:sz w:val="24"/>
      <w:szCs w:val="24"/>
    </w:rPr>
    <w:pPr>
      <w:spacing w:after="100" w:afterAutospacing="1" w:before="100" w:beforeAutospacing="1"/>
    </w:pPr>
  </w:style>
  <w:style w:type="character" w:styleId="871">
    <w:name w:val="docdata,docy,v5,2155,bqiaagaaeyqcaaagiaiaaangbqaabvqfaaaaaaaaaaaaaaaaaaaaaaaaaaaaaaaaaaaaaaaaaaaaaaaaaaaaaaaaaaaaaaaaaaaaaaaaaaaaaaaaaaaaaaaaaaaaaaaaaaaaaaaaaaaaaaaaaaaaaaaaaaaaaaaaaaaaaaaaaaaaaaaaaaaaaaaaaaaaaaaaaaaaaaaaaaaaaaaaaaaaaaaaaaaaaaaaaaaaaaaa"/>
    <w:next w:val="871"/>
    <w:link w:val="838"/>
  </w:style>
  <w:style w:type="paragraph" w:styleId="872">
    <w:name w:val="2013,bqiaagaaeyqcaaagiaiaaao4baaabcyeaaaaaaaaaaaaaaaaaaaaaaaaaaaaaaaaaaaaaaaaaaaaaaaaaaaaaaaaaaaaaaaaaaaaaaaaaaaaaaaaaaaaaaaaaaaaaaaaaaaaaaaaaaaaaaaaaaaaaaaaaaaaaaaaaaaaaaaaaaaaaaaaaaaaaaaaaaaaaaaaaaaaaaaaaaaaaaaaaaaaaaaaaaaaaaaaaaaaaaaa"/>
    <w:basedOn w:val="838"/>
    <w:next w:val="872"/>
    <w:link w:val="838"/>
    <w:rPr>
      <w:sz w:val="24"/>
      <w:szCs w:val="24"/>
    </w:rPr>
    <w:pPr>
      <w:spacing w:after="100" w:afterAutospacing="1" w:before="100" w:beforeAutospacing="1"/>
    </w:pPr>
  </w:style>
  <w:style w:type="paragraph" w:styleId="873">
    <w:name w:val="2101,bqiaagaaeyqcaaagiaiaaamqbqaabr4faaaaaaaaaaaaaaaaaaaaaaaaaaaaaaaaaaaaaaaaaaaaaaaaaaaaaaaaaaaaaaaaaaaaaaaaaaaaaaaaaaaaaaaaaaaaaaaaaaaaaaaaaaaaaaaaaaaaaaaaaaaaaaaaaaaaaaaaaaaaaaaaaaaaaaaaaaaaaaaaaaaaaaaaaaaaaaaaaaaaaaaaaaaaaaaaaaaaaaaa"/>
    <w:basedOn w:val="838"/>
    <w:next w:val="873"/>
    <w:link w:val="838"/>
    <w:rPr>
      <w:sz w:val="24"/>
      <w:szCs w:val="24"/>
    </w:rPr>
    <w:pPr>
      <w:spacing w:after="100" w:afterAutospacing="1" w:before="100" w:beforeAutospacing="1"/>
    </w:pPr>
  </w:style>
  <w:style w:type="paragraph" w:styleId="874">
    <w:name w:val="Bespoke Basic"/>
    <w:basedOn w:val="838"/>
    <w:next w:val="874"/>
    <w:link w:val="838"/>
    <w:rPr>
      <w:rFonts w:eastAsia="SimSun"/>
      <w:color w:val="00000A"/>
      <w:sz w:val="24"/>
      <w:szCs w:val="24"/>
      <w:lang w:val="en-US" w:bidi="hi-IN" w:eastAsia="zh-CN"/>
    </w:rPr>
    <w:pPr>
      <w:ind w:firstLine="567"/>
      <w:jc w:val="both"/>
      <w:spacing w:lineRule="atLeast" w:line="100"/>
      <w:widowControl w:val="off"/>
    </w:p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paragraph" w:styleId="877" w:default="1">
    <w:name w:val="Normal"/>
    <w:qFormat/>
  </w:style>
  <w:style w:type="table" w:styleId="878" w:default="1">
    <w:name w:val="Normal Table"/>
    <w:uiPriority w:val="99"/>
    <w:semiHidden/>
    <w:unhideWhenUsed/>
    <w:tblPr/>
  </w:style>
  <w:style w:type="paragraph" w:styleId="879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pravo.gov.ru/proxy/ips/?docbody=&amp;prevDoc=603637722&amp;backlink=1&amp;&amp;nd=102126657" TargetMode="External"/><Relationship Id="rId12" Type="http://schemas.openxmlformats.org/officeDocument/2006/relationships/hyperlink" Target="http://pravo.gov.ru/proxy/ips/?docbody=&amp;prevDoc=603637722&amp;backlink=1&amp;&amp;nd=1021266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2023-05-26T09:44:01Z</dcterms:modified>
</cp:coreProperties>
</file>