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rFonts w:ascii="Liberation Serif" w:hAnsi="Liberation Serif" w:cs="Liberation Serif" w:eastAsia="Liberation Serif"/>
          <w:b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Liberation Serif" w:hAnsi="Liberation Serif" w:cs="Liberation Serif" w:eastAsia="Liberation Serif"/>
          <w:b/>
          <w:color w:val="auto"/>
          <w:sz w:val="28"/>
        </w:rPr>
        <w:t xml:space="preserve">О продаже товаров дистанционным способом</w:t>
      </w:r>
      <w:r>
        <w:rPr>
          <w:rFonts w:ascii="Liberation Serif" w:hAnsi="Liberation Serif" w:cs="Liberation Serif" w:eastAsia="Liberation Serif"/>
          <w:color w:val="auto"/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rFonts w:ascii="Liberation Serif" w:hAnsi="Liberation Serif" w:cs="Liberation Serif" w:eastAsia="Liberation Serif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Liberation Serif" w:hAnsi="Liberation Serif" w:cs="Liberation Serif" w:eastAsia="Liberation Serif"/>
          <w:b/>
          <w:color w:val="auto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color w:val="auto"/>
          <w:sz w:val="24"/>
          <w:highlight w:val="none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Торговля товарами посредством заказа их через Интернет в российском законодательстве определена как «дистанционный способ продажи товара», что означает осуществление торговли по договорам розничной купли-продажи, заключаемым покупателями на основании сведе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ний, полученных ими из каталогов, проспектов, буклетов, посредством средств связи, или иными способами, исключающими возможность непосредственного ознакомления покупателей с товарами либо образцами товаров при заключении таких договоров.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Продажа товаров дистанционным способом регулируется следующими основными нормативными актами: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1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Гражданским Кодексом Российской Федерации (далее - ГК РФ);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1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Законом РФ от 7 февраля 1992 г. N 2300-1 "О защите прав потребителей" (далее - Закон);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1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Постановлением Правительства РФ от 27 сентября 2007 г. N 612 "Об утверждении Правил продажи товаров дистанционным способом" (далее - Правила продажи товаров дистанционным способом).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       В соответствии со статьей 26.1 Закона, еще до заключения договора продавец должен предоставить потребителю следующие сведения: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основные потребительские свойства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место нахождения продавца;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место изготовления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полное фирменное наименование продавца или изготовителя;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цену и условия приобретения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особенности доставки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срок службы, срок годности и гарантийный срок;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порядок оплаты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2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срок, в течение которого действует предложение о заключении договора.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       Данные сведения могут быть размещены на сайте продавца.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      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(п. 3 Правил продажи то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варов дистанционным способом).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       В момент доставки товара покупателю также должна быть предоставлена письменная информация о порядке и сроках возврата товара, а также следующие сведения о товаре: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основные потребительские свойства товаров (работ, услуг);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сведения о составе продуктов питания, пищевой ценности, об их назначении, условиях применения и хранения продуктов питания, о способах изготовления готовых блюд, весе, дате и месте изготовления и упаковки, а также сведения о противопоказаниях при отдельных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 заболеваниях;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цена в рублях и условия приобретения товаров, в том числе при предоставлении кредита размер кредита, полная сумма, подлежащая выплате потребителем, и график погашения этой суммы;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гарантийный срок, если он установлен;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правила и условия эффективного и безопасного использования товаров;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здоровья и имущества потребителя или становятся непригодными для использования по назначению;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место нахождения, фирменное наименование продавца;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информация об обязательном подтверждении соответствия товаров, если законом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информация о правилах продажи товаров;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указание на конкретное лицо, которое будет выполнять работу, например, доставку товара;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указание на использование фонограмм при оказании развлекательных услуг исполнителями музыкальных произведений;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pStyle w:val="602"/>
        <w:numPr>
          <w:ilvl w:val="0"/>
          <w:numId w:val="3"/>
        </w:numPr>
        <w:ind w:right="0"/>
        <w:jc w:val="both"/>
        <w:spacing w:lineRule="atLeast" w:line="360" w:after="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Данная информация может быть предоставлена как в виде договора купли-продажи, так и в виде технической документации, прилагаемой к товарам, на этикетках, маркировкой или иным способом.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Договор розничной купли-продажи товара, заключенный дистанционным способом, считается исполненным с момента доставки товара в место, указанное в таком договоре, а если место передачи товара таким договором не определено, с момента доставки товара по месту 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жительства покупателя-гражданина или месту нахождения покупателя - юридического лица.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Покупатель может отказаться от покупки до момента передачи ему товара. При этом, он должен возместить продавцу расходы, понесенные в связи с совершением действий по исполнению договора (497 статья ГК РФ). К таким действиям может относиться доставка товаров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Также, потребитель вправе отказаться от товара в течение семи дней после его получения. А в случае, 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</w:t>
      </w:r>
      <w:r>
        <w:rPr>
          <w:rFonts w:ascii="Liberation Serif" w:hAnsi="Liberation Serif" w:cs="Liberation Serif" w:eastAsia="Liberation Serif"/>
          <w:color w:val="auto"/>
          <w:sz w:val="24"/>
        </w:rPr>
        <w:t xml:space="preserve">раве отказаться от товара в течение трех месяцев с момента передачи товара (ст. 26.1. Закона).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ind w:left="0" w:right="0" w:firstLine="0"/>
        <w:jc w:val="both"/>
        <w:spacing w:lineRule="atLeast" w:line="360" w:after="150" w:before="0"/>
        <w:rPr>
          <w:rFonts w:ascii="Liberation Serif" w:hAnsi="Liberation Serif" w:cs="Liberation Serif" w:eastAsia="Liberation Serif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4"/>
        </w:rPr>
        <w:t xml:space="preserve">Права потребителя при обнаружении в товаре недостатков регулируются положениями ст. 18 - 24 Закона, как и при обычной розничной торговле.</w:t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  <w:sz w:val="24"/>
        </w:rPr>
      </w:pPr>
      <w:r>
        <w:rPr>
          <w:rFonts w:ascii="Liberation Serif" w:hAnsi="Liberation Serif" w:cs="Liberation Serif" w:eastAsia="Liberation Serif"/>
          <w:color w:val="auto"/>
          <w:sz w:val="24"/>
        </w:rPr>
      </w:r>
      <w:r>
        <w:rPr>
          <w:rFonts w:ascii="Liberation Serif" w:hAnsi="Liberation Serif" w:cs="Liberation Serif" w:eastAsia="Liberation Serif"/>
          <w:color w:val="auto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555555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555555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555555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555555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555555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555555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555555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555555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555555"/>
        <w:sz w:val="27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555555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555555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555555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555555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555555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555555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555555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555555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555555"/>
        <w:sz w:val="27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555555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555555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555555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555555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555555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555555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555555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555555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555555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2023-06-30T09:31:40Z</dcterms:modified>
</cp:coreProperties>
</file>