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817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Сводный отчет</w:t>
      </w:r>
      <w:r/>
    </w:p>
    <w:p>
      <w:pPr>
        <w:pStyle w:val="817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результатах проведения публичных консультаций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/>
      <w:bookmarkStart w:id="0" w:name="P379"/>
      <w:r/>
      <w:bookmarkEnd w:id="0"/>
      <w:r>
        <w:rPr>
          <w:rFonts w:ascii="Liberation Serif" w:hAnsi="Liberation Serif" w:cs="Times New Roman"/>
          <w:sz w:val="24"/>
          <w:szCs w:val="24"/>
        </w:rPr>
        <w:t xml:space="preserve">1. Общая информация: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1.1. Орган-разработчик (полное и краткое наименования):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района, Департамент </w:t>
      </w:r>
      <w:r>
        <w:rPr>
          <w:rFonts w:ascii="Liberation Serif" w:hAnsi="Liberation Serif" w:cs="Times New Roman"/>
          <w:sz w:val="24"/>
          <w:szCs w:val="24"/>
        </w:rPr>
        <w:t xml:space="preserve">ТСиСЖ</w:t>
      </w:r>
      <w:r>
        <w:rPr>
          <w:rFonts w:ascii="Liberation Serif" w:hAnsi="Liberation Serif" w:cs="Times New Roman"/>
          <w:sz w:val="24"/>
          <w:szCs w:val="24"/>
        </w:rPr>
        <w:t xml:space="preserve">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1.2. Вид и наименование проекта нормативного правового акта: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Проект р</w:t>
      </w:r>
      <w:r>
        <w:rPr>
          <w:rFonts w:ascii="Liberation Serif" w:hAnsi="Liberation Serif" w:cs="Times New Roman"/>
          <w:sz w:val="24"/>
          <w:szCs w:val="24"/>
        </w:rPr>
        <w:t xml:space="preserve">ешени</w:t>
      </w:r>
      <w:r>
        <w:rPr>
          <w:rFonts w:ascii="Liberation Serif" w:hAnsi="Liberation Serif" w:cs="Times New Roman"/>
          <w:sz w:val="24"/>
          <w:szCs w:val="24"/>
        </w:rPr>
        <w:t xml:space="preserve">я</w:t>
      </w:r>
      <w:r>
        <w:rPr>
          <w:rFonts w:ascii="Liberation Serif" w:hAnsi="Liberation Serif" w:cs="Times New Roman"/>
          <w:sz w:val="24"/>
          <w:szCs w:val="24"/>
        </w:rPr>
        <w:t xml:space="preserve"> Думы Пуровского района </w:t>
      </w:r>
      <w:r>
        <w:rPr>
          <w:rFonts w:ascii="Liberation Serif" w:hAnsi="Liberation Serif"/>
          <w:sz w:val="24"/>
          <w:szCs w:val="24"/>
        </w:rPr>
        <w:t xml:space="preserve">«</w:t>
      </w:r>
      <w:r>
        <w:rPr>
          <w:rFonts w:ascii="Liberation Serif" w:hAnsi="Liberation Serif" w:cs="Times New Roman"/>
          <w:sz w:val="24"/>
          <w:szCs w:val="24"/>
        </w:rPr>
        <w:t xml:space="preserve">О внесении изменения в </w:t>
      </w:r>
      <w:r>
        <w:rPr>
          <w:rFonts w:ascii="Liberation Serif" w:hAnsi="Liberation Serif"/>
          <w:bCs/>
          <w:sz w:val="24"/>
          <w:szCs w:val="24"/>
        </w:rPr>
        <w:t xml:space="preserve">Положение 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Style w:val="821"/>
          <w:rFonts w:ascii="Liberation Serif" w:hAnsi="Liberation Serif" w:cs="Liberation Serif" w:eastAsia="Liberation Serif"/>
          <w:i w:val="0"/>
          <w:sz w:val="24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(с изменениями от 24 февраля.2022 года № 363)</w:t>
      </w:r>
      <w:r>
        <w:rPr>
          <w:rFonts w:ascii="Liberation Serif" w:hAnsi="Liberation Serif"/>
          <w:sz w:val="24"/>
          <w:szCs w:val="24"/>
        </w:rPr>
        <w:t xml:space="preserve">»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10): </w:t>
      </w:r>
      <w:r>
        <w:rPr>
          <w:rFonts w:ascii="Liberation Serif" w:hAnsi="Liberation Serif" w:cs="Times New Roman"/>
          <w:sz w:val="24"/>
          <w:szCs w:val="24"/>
        </w:rPr>
        <w:t xml:space="preserve">26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10</w:t>
      </w:r>
      <w:r>
        <w:rPr>
          <w:rFonts w:ascii="Liberation Serif" w:hAnsi="Liberation Serif" w:cs="Times New Roman"/>
          <w:sz w:val="24"/>
          <w:szCs w:val="24"/>
        </w:rPr>
        <w:t xml:space="preserve">.202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еформирование контрольно-надзорной деятельности.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1.5. Краткое описание целей предлагаемого правового регулирования: </w:t>
      </w:r>
      <w:r/>
    </w:p>
    <w:p>
      <w:pPr>
        <w:jc w:val="both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/>
        </w:rPr>
        <w:t xml:space="preserve">Регулирование отношений, возникающих в связи с организацией и осуществлением муниципального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контроля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/>
        </w:rPr>
        <w:t xml:space="preserve">.</w:t>
      </w:r>
      <w:r/>
    </w:p>
    <w:p>
      <w:pPr>
        <w:ind w:firstLine="708"/>
        <w:jc w:val="both"/>
        <w:shd w:val="clear" w:color="auto" w:fill="ffffff"/>
        <w:rPr>
          <w:rFonts w:ascii="Liberation Serif" w:hAnsi="Liberation Serif" w:cs="Arial"/>
        </w:rPr>
      </w:pPr>
      <w:r>
        <w:rPr>
          <w:rFonts w:ascii="Liberation Serif" w:hAnsi="Liberation Serif" w:cs="PT Astra Serif" w:eastAsia="SimSun"/>
          <w:color w:val="00000A"/>
        </w:rPr>
        <w:t xml:space="preserve">Акцент на профилакти</w:t>
      </w:r>
      <w:r>
        <w:rPr>
          <w:rFonts w:ascii="Liberation Serif" w:hAnsi="Liberation Serif" w:cs="PT Astra Serif" w:eastAsia="SimSun"/>
          <w:color w:val="00000A"/>
        </w:rPr>
        <w:t xml:space="preserve">ку </w:t>
      </w:r>
      <w:r>
        <w:rPr>
          <w:rFonts w:ascii="Liberation Serif" w:hAnsi="Liberation Serif"/>
        </w:rPr>
        <w:t xml:space="preserve">рисков причинения вреда (ущерба) </w:t>
      </w:r>
      <w:r>
        <w:rPr>
          <w:rFonts w:ascii="Liberation Serif" w:hAnsi="Liberation Serif" w:cs="Arial"/>
        </w:rPr>
        <w:t xml:space="preserve">охраняемым законом ценностям при осуществлении муниципального контроля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Arial"/>
        </w:rPr>
        <w:t xml:space="preserve">.</w:t>
      </w:r>
      <w:r/>
    </w:p>
    <w:p>
      <w:pPr>
        <w:ind w:firstLine="708"/>
        <w:jc w:val="both"/>
        <w:shd w:val="clear" w:color="auto" w:fill="ffffff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</w:r>
      <w:r/>
    </w:p>
    <w:p>
      <w:pPr>
        <w:ind w:firstLine="708"/>
        <w:jc w:val="both"/>
        <w:shd w:val="clear" w:color="auto" w:fill="ffffff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1.6. Краткое описание содержания предлагаемого правового регулирования:</w:t>
      </w:r>
      <w:r/>
    </w:p>
    <w:p>
      <w:pPr>
        <w:ind w:firstLine="708"/>
        <w:jc w:val="both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 w:cs="Arial"/>
        </w:rPr>
        <w:t xml:space="preserve">Актуализация </w:t>
      </w:r>
      <w:r>
        <w:rPr>
          <w:rFonts w:ascii="Liberation Serif" w:hAnsi="Liberation Serif" w:cs="Arial"/>
        </w:rPr>
        <w:t xml:space="preserve">индикаторов риска нарушения обязательных требований, используемых в качестве основания для проведения контрольных мероприятий при осуществлении</w:t>
      </w:r>
      <w:r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 xml:space="preserve">муниципального контроля</w:t>
      </w:r>
      <w:r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Liberation Serif" w:hAnsi="Liberation Serif" w:cs="Arial"/>
        </w:rPr>
        <w:t xml:space="preserve">в соответствии с методическими рекомендациями по разработке индикаторов риска государственного контроля (надзора) и муниципального контроля;</w:t>
      </w:r>
      <w:r/>
    </w:p>
    <w:p>
      <w:pPr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color w:val="00000A"/>
        </w:rPr>
      </w:pPr>
      <w:r>
        <w:rPr>
          <w:rFonts w:ascii="Liberation Serif" w:hAnsi="Liberation Serif"/>
        </w:rPr>
        <w:t xml:space="preserve">Приведение в соответствие с требованиями </w:t>
      </w:r>
      <w:r>
        <w:rPr>
          <w:rFonts w:ascii="Liberation Serif" w:hAnsi="Liberation Serif" w:cs="Liberation Serif" w:eastAsia="Liberation Serif"/>
          <w:color w:val="00000A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Liberation Serif" w:hAnsi="Liberation Serif" w:cs="Liberation Serif" w:eastAsia="Liberation Serif"/>
          <w:color w:val="00000A"/>
        </w:rPr>
        <w:t xml:space="preserve"> в части проведения профилактического визита.</w:t>
      </w:r>
      <w:r/>
    </w:p>
    <w:p>
      <w:pPr>
        <w:ind w:firstLine="708"/>
        <w:jc w:val="both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1.7. Контактная информация исполнителя органа-разработчика:</w:t>
      </w:r>
      <w:r>
        <w:rPr>
          <w:rFonts w:ascii="Liberation Serif" w:hAnsi="Liberation Serif" w:cs="PT Astra Serif" w:eastAsia="SimSun"/>
          <w:color w:val="00000A"/>
        </w:rPr>
        <w:t xml:space="preserve">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Ф.И.О. 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Буряк Игорь Юрьевич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Должность:</w:t>
      </w:r>
      <w:r/>
    </w:p>
    <w:p>
      <w:pPr>
        <w:contextualSpacing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Главный специалист отдела </w:t>
      </w:r>
      <w:r>
        <w:rPr>
          <w:rFonts w:ascii="Liberation Serif" w:hAnsi="Liberation Serif" w:cs="Liberation Serif" w:eastAsia="Liberation Serif"/>
        </w:rPr>
        <w:t xml:space="preserve">транспорта, связи и </w:t>
      </w:r>
      <w:r>
        <w:rPr>
          <w:rFonts w:ascii="Liberation Serif" w:hAnsi="Liberation Serif" w:cs="Liberation Serif" w:eastAsia="Liberation Serif"/>
        </w:rPr>
        <w:t xml:space="preserve">дорожного хозяйства </w:t>
      </w:r>
      <w:r>
        <w:rPr>
          <w:rFonts w:ascii="Liberation Serif" w:hAnsi="Liberation Serif" w:cs="Liberation Serif" w:eastAsia="Liberation Serif"/>
        </w:rPr>
        <w:t xml:space="preserve">управления </w:t>
      </w:r>
      <w:r>
        <w:rPr>
          <w:rFonts w:ascii="Liberation Serif" w:hAnsi="Liberation Serif" w:cs="Liberation Serif" w:eastAsia="Liberation Serif"/>
        </w:rPr>
        <w:t xml:space="preserve">транспорта,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дорожного хозяйства и связи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Департамента </w:t>
      </w:r>
      <w:r>
        <w:rPr>
          <w:rFonts w:ascii="Liberation Serif" w:hAnsi="Liberation Serif" w:cs="Times New Roman"/>
          <w:sz w:val="24"/>
          <w:szCs w:val="24"/>
        </w:rPr>
        <w:t xml:space="preserve">транспорта</w:t>
      </w:r>
      <w:r>
        <w:rPr>
          <w:rFonts w:ascii="Liberation Serif" w:hAnsi="Liberation Serif" w:cs="Times New Roman"/>
          <w:sz w:val="24"/>
          <w:szCs w:val="24"/>
        </w:rPr>
        <w:t xml:space="preserve">, связи и систем жизнеобеспечения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, т</w:t>
      </w:r>
      <w:r>
        <w:rPr>
          <w:rFonts w:ascii="Liberation Serif" w:hAnsi="Liberation Serif" w:cs="Times New Roman"/>
          <w:sz w:val="24"/>
          <w:szCs w:val="24"/>
        </w:rPr>
        <w:t xml:space="preserve">ел.: </w:t>
      </w:r>
      <w:r>
        <w:rPr>
          <w:rFonts w:ascii="Liberation Serif" w:hAnsi="Liberation Serif" w:cs="Times New Roman"/>
          <w:bCs/>
          <w:sz w:val="24"/>
          <w:szCs w:val="24"/>
        </w:rPr>
        <w:t xml:space="preserve">8 (34997) 2-2</w:t>
      </w:r>
      <w:r>
        <w:rPr>
          <w:rFonts w:ascii="Liberation Serif" w:hAnsi="Liberation Serif" w:cs="Times New Roman"/>
          <w:bCs/>
          <w:sz w:val="24"/>
          <w:szCs w:val="24"/>
        </w:rPr>
        <w:t xml:space="preserve">6-</w:t>
      </w:r>
      <w:r>
        <w:rPr>
          <w:rFonts w:ascii="Liberation Serif" w:hAnsi="Liberation Serif" w:cs="Times New Roman"/>
          <w:bCs/>
          <w:sz w:val="24"/>
          <w:szCs w:val="24"/>
        </w:rPr>
        <w:t xml:space="preserve">02, а</w:t>
      </w:r>
      <w:r>
        <w:rPr>
          <w:rFonts w:ascii="Liberation Serif" w:hAnsi="Liberation Serif" w:cs="Times New Roman"/>
          <w:sz w:val="24"/>
          <w:szCs w:val="24"/>
        </w:rPr>
        <w:t xml:space="preserve">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Liberation Serif" w:hAnsi="Liberation Serif" w:cs="Times New Roman"/>
          <w:sz w:val="24"/>
          <w:szCs w:val="24"/>
        </w:rPr>
        <w:t xml:space="preserve">Федеральным законом № 248-ФЗ «О государственном контроле (надзоре) и муниципальном контроле в Российской Федерации» установлен</w:t>
      </w:r>
      <w:r>
        <w:rPr>
          <w:rFonts w:ascii="Liberation Serif" w:hAnsi="Liberation Serif" w:cs="Times New Roman"/>
          <w:sz w:val="24"/>
          <w:szCs w:val="24"/>
        </w:rPr>
        <w:t xml:space="preserve">ы</w:t>
      </w:r>
      <w:r>
        <w:rPr>
          <w:rFonts w:ascii="Liberation Serif" w:hAnsi="Liberation Serif" w:cs="Times New Roman"/>
          <w:sz w:val="24"/>
          <w:szCs w:val="24"/>
        </w:rPr>
        <w:t xml:space="preserve"> новы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основания проведения профилактического визита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Формулировка проблемы: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снижение</w:t>
      </w:r>
      <w:r>
        <w:rPr>
          <w:rFonts w:ascii="Liberation Serif" w:hAnsi="Liberation Serif" w:cs="Times New Roman"/>
          <w:sz w:val="24"/>
          <w:szCs w:val="24"/>
        </w:rPr>
        <w:t xml:space="preserve"> регуляторн</w:t>
      </w:r>
      <w:r>
        <w:rPr>
          <w:rFonts w:ascii="Liberation Serif" w:hAnsi="Liberation Serif" w:cs="Times New Roman"/>
          <w:sz w:val="24"/>
          <w:szCs w:val="24"/>
        </w:rPr>
        <w:t xml:space="preserve">ой</w:t>
      </w:r>
      <w:r>
        <w:rPr>
          <w:rFonts w:ascii="Liberation Serif" w:hAnsi="Liberation Serif" w:cs="Times New Roman"/>
          <w:sz w:val="24"/>
          <w:szCs w:val="24"/>
        </w:rPr>
        <w:t xml:space="preserve"> нагрузк</w:t>
      </w:r>
      <w:r>
        <w:rPr>
          <w:rFonts w:ascii="Liberation Serif" w:hAnsi="Liberation Serif" w:cs="Times New Roman"/>
          <w:sz w:val="24"/>
          <w:szCs w:val="24"/>
        </w:rPr>
        <w:t xml:space="preserve">и</w:t>
      </w:r>
      <w:r>
        <w:rPr>
          <w:rFonts w:ascii="Liberation Serif" w:hAnsi="Liberation Serif" w:cs="Times New Roman"/>
          <w:sz w:val="24"/>
          <w:szCs w:val="24"/>
        </w:rPr>
        <w:t xml:space="preserve"> на юридических лиц и индивидуальных предпринимателей при проведении контрольных 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в сфере муниципального контроля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PT Astra Serif" w:eastAsiaTheme="minorHAnsi"/>
          <w:lang w:eastAsia="en-US"/>
        </w:rPr>
      </w:pPr>
      <w:r>
        <w:rPr>
          <w:rFonts w:ascii="Liberation Serif" w:hAnsi="Liberation Serif" w:cs="PT Astra Serif" w:eastAsia="Calibri"/>
          <w:lang w:eastAsia="en-US"/>
        </w:rPr>
        <w:tab/>
      </w:r>
      <w:r>
        <w:rPr>
          <w:rFonts w:ascii="Liberation Serif" w:hAnsi="Liberation Serif" w:cs="PT Astra Serif" w:eastAsia="Calibri"/>
          <w:lang w:eastAsia="en-US"/>
        </w:rPr>
        <w:t xml:space="preserve">Для исполнения нормы статьи </w:t>
      </w:r>
      <w:r>
        <w:rPr>
          <w:rFonts w:ascii="Liberation Serif" w:hAnsi="Liberation Serif" w:cs="PT Astra Serif" w:eastAsia="Calibri"/>
          <w:lang w:eastAsia="en-US"/>
        </w:rPr>
        <w:t xml:space="preserve">52</w:t>
      </w:r>
      <w:r>
        <w:rPr>
          <w:rFonts w:ascii="Liberation Serif" w:hAnsi="Liberation Serif" w:cs="PT Astra Serif" w:eastAsia="Calibri"/>
          <w:lang w:eastAsia="en-US"/>
        </w:rPr>
        <w:t xml:space="preserve"> </w:t>
      </w:r>
      <w:r>
        <w:rPr>
          <w:rFonts w:ascii="Liberation Serif" w:hAnsi="Liberation Serif" w:cs="Arial"/>
        </w:rPr>
        <w:t xml:space="preserve">Федерального закона</w:t>
      </w:r>
      <w:r>
        <w:rPr>
          <w:rFonts w:ascii="Liberation Serif" w:hAnsi="Liberation Serif" w:cs="Arial"/>
        </w:rPr>
        <w:br/>
        <w:t xml:space="preserve">№ 248-ФЗ, в соответствии с которой </w:t>
      </w:r>
      <w:r>
        <w:rPr>
          <w:rFonts w:ascii="Liberation Serif" w:hAnsi="Liberation Serif" w:cs="Arial"/>
        </w:rPr>
        <w:t xml:space="preserve">профилактические </w:t>
      </w:r>
      <w:r>
        <w:rPr>
          <w:rFonts w:ascii="Liberation Serif" w:hAnsi="Liberation Serif" w:cs="PT Astra Serif" w:eastAsiaTheme="minorHAnsi"/>
          <w:lang w:eastAsia="en-US"/>
        </w:rPr>
        <w:t xml:space="preserve">визиты могут проводиться в том </w:t>
      </w:r>
      <w:r>
        <w:rPr>
          <w:rFonts w:ascii="Liberation Serif" w:hAnsi="Liberation Serif" w:cs="PT Astra Serif" w:eastAsiaTheme="minorHAnsi"/>
          <w:lang w:eastAsia="en-US"/>
        </w:rPr>
        <w:t xml:space="preserve">числе по заявлению контролируемого лица о проведении в отношении его профилактического визита. Решение по заявлению принимается в течение 10 рабочих дней с даты регистрации заявления. При этом контрольный орган может не удовлетворить такое заявление, если:</w:t>
      </w:r>
      <w:r/>
    </w:p>
    <w:p>
      <w:pPr>
        <w:jc w:val="both"/>
        <w:rPr>
          <w:rFonts w:ascii="Liberation Serif" w:hAnsi="Liberation Serif" w:cs="PT Astra Serif" w:eastAsiaTheme="minorHAnsi"/>
          <w:lang w:eastAsia="en-US"/>
        </w:rPr>
      </w:pPr>
      <w:r>
        <w:rPr>
          <w:rFonts w:ascii="Liberation Serif" w:hAnsi="Liberation Serif" w:cs="PT Astra Serif" w:eastAsiaTheme="minorHAnsi"/>
          <w:lang w:eastAsia="en-US"/>
        </w:rPr>
        <w:t xml:space="preserve"> </w:t>
      </w:r>
      <w:r>
        <w:rPr>
          <w:rFonts w:ascii="Liberation Serif" w:hAnsi="Liberation Serif" w:cs="PT Astra Serif" w:eastAsiaTheme="minorHAnsi"/>
          <w:lang w:eastAsia="en-US"/>
        </w:rPr>
        <w:tab/>
        <w:t xml:space="preserve">- у него отсутствуют материальные, финансовые и кадровые ресурсы для проведения профилактического визита;</w:t>
      </w:r>
      <w:r/>
    </w:p>
    <w:p>
      <w:pPr>
        <w:jc w:val="both"/>
        <w:rPr>
          <w:rFonts w:ascii="Liberation Serif" w:hAnsi="Liberation Serif" w:cs="PT Astra Serif" w:eastAsiaTheme="minorHAnsi"/>
          <w:lang w:eastAsia="en-US"/>
        </w:rPr>
      </w:pPr>
      <w:r>
        <w:rPr>
          <w:rFonts w:ascii="Liberation Serif" w:hAnsi="Liberation Serif" w:cs="PT Astra Serif" w:eastAsiaTheme="minorHAnsi"/>
          <w:lang w:eastAsia="en-US"/>
        </w:rPr>
        <w:tab/>
        <w:t xml:space="preserve">- контролируемое лицо отозвало свое заявление;</w:t>
      </w:r>
      <w:r/>
    </w:p>
    <w:p>
      <w:pPr>
        <w:jc w:val="both"/>
        <w:rPr>
          <w:rFonts w:ascii="Liberation Serif" w:hAnsi="Liberation Serif" w:cs="PT Astra Serif" w:eastAsiaTheme="minorHAnsi"/>
          <w:lang w:eastAsia="en-US"/>
        </w:rPr>
      </w:pPr>
      <w:r>
        <w:rPr>
          <w:rFonts w:ascii="Liberation Serif" w:hAnsi="Liberation Serif" w:cs="PT Astra Serif" w:eastAsiaTheme="minorHAnsi"/>
          <w:lang w:eastAsia="en-US"/>
        </w:rPr>
        <w:tab/>
        <w:t xml:space="preserve">- в течение 2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  <w:r/>
    </w:p>
    <w:p>
      <w:pPr>
        <w:jc w:val="both"/>
        <w:rPr>
          <w:rFonts w:ascii="Liberation Serif" w:hAnsi="Liberation Serif" w:cs="PT Astra Serif" w:eastAsiaTheme="minorHAnsi"/>
          <w:lang w:eastAsia="en-US"/>
        </w:rPr>
      </w:pPr>
      <w:r>
        <w:rPr>
          <w:rFonts w:ascii="Liberation Serif" w:hAnsi="Liberation Serif" w:cs="PT Astra Serif" w:eastAsiaTheme="minorHAnsi"/>
          <w:lang w:eastAsia="en-US"/>
        </w:rPr>
        <w:tab/>
        <w:t xml:space="preserve">- в течение 6 месяцев до даты подачи заявления контролируемого лица прове</w:t>
      </w:r>
      <w:r>
        <w:rPr>
          <w:rFonts w:ascii="Liberation Serif" w:hAnsi="Liberation Serif" w:cs="PT Astra Serif" w:eastAsiaTheme="minorHAnsi"/>
          <w:lang w:eastAsia="en-US"/>
        </w:rPr>
        <w:t xml:space="preserve">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r/>
    </w:p>
    <w:p>
      <w:pPr>
        <w:jc w:val="both"/>
        <w:rPr>
          <w:rFonts w:ascii="Liberation Serif" w:hAnsi="Liberation Serif" w:cs="PT Astra Serif" w:eastAsiaTheme="minorHAnsi"/>
          <w:lang w:eastAsia="en-US"/>
        </w:rPr>
      </w:pPr>
      <w:r>
        <w:rPr>
          <w:rFonts w:ascii="Liberation Serif" w:hAnsi="Liberation Serif" w:cs="PT Astra Serif" w:eastAsiaTheme="minorHAnsi"/>
          <w:lang w:eastAsia="en-US"/>
        </w:rPr>
        <w:tab/>
        <w:t xml:space="preserve">- заявление контролируемого лица содержит нецензурные либо оскорбительные выражения, угрозы жизни, здоровью и имуществу должностных лиц надзорного органа либо членов их семей.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 w:cs="PT Astra Serif" w:eastAsiaTheme="minorHAnsi"/>
          <w:lang w:eastAsia="en-US"/>
        </w:rPr>
        <w:t xml:space="preserve">Если контрольный орган решит провести профилактический визит, он должен согласовать его дату с контролируемым лицом.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erif" w:hAnsi="Liberation Serif" w:cs="Times New Roman"/>
          <w:sz w:val="24"/>
          <w:szCs w:val="24"/>
        </w:rPr>
        <w:t xml:space="preserve"> юридические лица, индивидуальные предприниматели, физические лица.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наличие недопустимого риска причинения </w:t>
      </w:r>
      <w:r>
        <w:rPr>
          <w:rFonts w:ascii="Liberation Serif" w:hAnsi="Liberation Serif" w:cs="Times New Roman"/>
          <w:sz w:val="24"/>
          <w:szCs w:val="24"/>
        </w:rPr>
        <w:t xml:space="preserve">вреда (ущерба) охраняемым законом ценностям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 xml:space="preserve">устранение избыточных регуляторных действий в отношении </w:t>
      </w:r>
      <w:r>
        <w:rPr>
          <w:rFonts w:ascii="Liberation Serif" w:hAnsi="Liberation Serif" w:cs="Times New Roman"/>
          <w:sz w:val="24"/>
          <w:szCs w:val="24"/>
        </w:rPr>
        <w:t xml:space="preserve">юридических лиц и индивидуальных предпринимателей.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/>
    </w:p>
    <w:p>
      <w:pPr>
        <w:pStyle w:val="811"/>
        <w:jc w:val="both"/>
        <w:spacing w:before="0" w:beforeAutospacing="0" w:after="144" w:afterAutospacing="0" w:line="293" w:lineRule="atLeast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полномочия по осуществлению муниципального контроля закреплены</w:t>
      </w:r>
      <w:r>
        <w:rPr>
          <w:rFonts w:ascii="Liberation Serif" w:hAnsi="Liberation Serif"/>
          <w:b w:val="0"/>
          <w:sz w:val="24"/>
          <w:szCs w:val="24"/>
        </w:rPr>
        <w:t xml:space="preserve"> Ф</w:t>
      </w:r>
      <w:r>
        <w:rPr>
          <w:rFonts w:ascii="Liberation Serif" w:hAnsi="Liberation Serif" w:cs="Arial"/>
          <w:b w:val="0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информация </w:t>
      </w:r>
      <w:r>
        <w:rPr>
          <w:rFonts w:ascii="Liberation Serif" w:hAnsi="Liberation Serif" w:cs="Times New Roman"/>
          <w:sz w:val="24"/>
          <w:szCs w:val="24"/>
        </w:rPr>
        <w:t xml:space="preserve">отсутству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2.8. Источники данных: </w:t>
      </w:r>
      <w:r>
        <w:rPr>
          <w:rFonts w:ascii="Liberation Serif" w:hAnsi="Liberation Serif" w:cs="Times New Roman"/>
          <w:sz w:val="24"/>
          <w:szCs w:val="24"/>
        </w:rPr>
        <w:t xml:space="preserve">информация </w:t>
      </w:r>
      <w:r>
        <w:rPr>
          <w:rFonts w:ascii="Liberation Serif" w:hAnsi="Liberation Serif" w:cs="Times New Roman"/>
          <w:sz w:val="24"/>
          <w:szCs w:val="24"/>
        </w:rPr>
        <w:t xml:space="preserve">отсутству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2.9. Иная информация о проблеме: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/>
      <w:bookmarkStart w:id="1" w:name="P443"/>
      <w:r/>
      <w:bookmarkEnd w:id="1"/>
      <w:r>
        <w:rPr>
          <w:rFonts w:ascii="Liberation Serif" w:hAnsi="Liberation Serif" w:cs="Times New Roman"/>
          <w:sz w:val="24"/>
          <w:szCs w:val="24"/>
        </w:rPr>
        <w:t xml:space="preserve">3. Определение целей предлагаемого правового регулирования 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индикаторов для оценки их достижения:</w:t>
      </w:r>
      <w:r/>
    </w:p>
    <w:tbl>
      <w:tblPr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3.1. Цели предлагаемого правового регулирования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3.2. Сроки достижения целей предлагаемого правового регулирования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3.3. Периодичность мониторинга достижения целей предлагаемого правового регулирования</w:t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Осуществление муниципального контроля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 момента принятия решения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Ежегодно </w:t>
            </w:r>
            <w:r/>
          </w:p>
        </w:tc>
      </w:tr>
    </w:tbl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>
        <w:rPr>
          <w:rFonts w:ascii="Liberation Serif" w:hAnsi="Liberation Serif" w:cs="Arial"/>
          <w:sz w:val="24"/>
          <w:szCs w:val="24"/>
          <w:u w:val="single"/>
        </w:rPr>
        <w:t xml:space="preserve"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/>
    </w:p>
    <w:p>
      <w:pPr>
        <w:pStyle w:val="81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(указывается нормативный правовой акт более высокого уровня либо инициативный порядок разработки)</w:t>
      </w:r>
      <w:r/>
    </w:p>
    <w:p>
      <w:pPr>
        <w:pStyle w:val="81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3.5. Цели предлагаемого правового регулирования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3.6. Индикаторы достижения целей предлагаемого правового регулирования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3.7. Единица измерения индикаторов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3.8. Целевые значения индикаторов по годам</w:t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Цель 1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Недопущение проведения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контрольных  мероприятий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 грубым нарушением требований, результаты которых отменены судом, в общем количестве проведенных контрольных мероприятий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1.1. Индикатор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Индикаторы отсутствуют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Цель 2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Изменение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направления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контрольной деятельности с проверочных мероприятий на профилактические 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1.2. Индикатор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Индикаторы отсутствуют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расчеты проводятся на основании количественных показателей </w:t>
      </w:r>
      <w:r>
        <w:rPr>
          <w:rFonts w:ascii="Liberation Serif" w:hAnsi="Liberation Serif" w:cs="Times New Roman"/>
          <w:sz w:val="24"/>
          <w:szCs w:val="24"/>
        </w:rPr>
        <w:t xml:space="preserve">проведенных проверок</w:t>
      </w:r>
      <w:r>
        <w:rPr>
          <w:rFonts w:ascii="Liberation Serif" w:hAnsi="Liberation Serif" w:cs="Times New Roman"/>
          <w:sz w:val="24"/>
          <w:szCs w:val="24"/>
        </w:rPr>
        <w:t xml:space="preserve"> и профилактических 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требуется.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/>
    </w:p>
    <w:tbl>
      <w:tblPr>
        <w:tblW w:w="952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/>
            <w:bookmarkStart w:id="2" w:name="P500"/>
            <w:r/>
            <w:bookmarkEnd w:id="2"/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4.2. Количество участников группы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4.3. Источники данных</w:t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(Группа 1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)</w:t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Юридические лица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, индивидуальные предприниматели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erif" w:hAnsi="Liberation Serif"/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Статистические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данные контрольного органа</w:t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(Группа 2)</w:t>
            </w:r>
            <w:r>
              <w:rPr>
                <w:highlight w:val="white"/>
              </w:rPr>
            </w:r>
            <w:r/>
          </w:p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Физические лица</w:t>
            </w:r>
            <w:r>
              <w:rPr>
                <w:highlight w:val="white"/>
              </w:rPr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Неустановленный круг лиц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both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Статистические данные контрольного органа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функции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измен</w:t>
      </w:r>
      <w:r>
        <w:rPr>
          <w:rFonts w:ascii="Liberation Serif" w:hAnsi="Liberation Serif" w:cs="Times New Roman"/>
          <w:b/>
          <w:sz w:val="24"/>
          <w:szCs w:val="24"/>
        </w:rPr>
        <w:t xml:space="preserve">я</w:t>
      </w:r>
      <w:r>
        <w:rPr>
          <w:rFonts w:ascii="Liberation Serif" w:hAnsi="Liberation Serif" w:cs="Times New Roman"/>
          <w:b/>
          <w:sz w:val="24"/>
          <w:szCs w:val="24"/>
        </w:rPr>
        <w:t xml:space="preserve">тся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/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/>
            <w:bookmarkStart w:id="3" w:name="P518"/>
            <w:r/>
            <w:bookmarkEnd w:id="3"/>
            <w:r>
              <w:rPr>
                <w:rFonts w:ascii="Liberation Serif" w:hAnsi="Liberation Serif" w:cs="Times New Roman"/>
              </w:rPr>
              <w:t xml:space="preserve">5.1. Наименование функции (полномочия, обязанности или права)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5.2. Характер функции (новая/изменяемая/отменяемая)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5.3. Предпола-гаемый порядок реализа-ции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5.4. Оценка изменения трудовых затрат (чел./час в год), изменения численности сотрудников (чел.)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5.5. Оценка изменения потребностей в других ресурсах</w:t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1. Наименование структурного подразделения органа местного самоуправления</w:t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1) Департамент транспорта, связи и систем жизнеобеспечения Администрации Пуровского района - в границах Пуровского района, города </w:t>
            </w:r>
            <w:r>
              <w:rPr>
                <w:rFonts w:ascii="Liberation Serif" w:hAnsi="Liberation Serif" w:cs="Times New Roman"/>
              </w:rPr>
              <w:t xml:space="preserve">Тарко</w:t>
            </w:r>
            <w:r>
              <w:rPr>
                <w:rFonts w:ascii="Liberation Serif" w:hAnsi="Liberation Serif" w:cs="Times New Roman"/>
              </w:rPr>
              <w:t xml:space="preserve">-Сале и села Толька;</w:t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</w:rPr>
              <w:t xml:space="preserve">Фу</w:t>
            </w:r>
            <w:r>
              <w:rPr>
                <w:rFonts w:ascii="Liberation Serif" w:hAnsi="Liberation Serif" w:cs="Times New Roman"/>
                <w:sz w:val="22"/>
              </w:rPr>
              <w:t xml:space="preserve">нкция (полномочие, обязанность или право)</w:t>
            </w:r>
            <w:r>
              <w:rPr>
                <w:sz w:val="22"/>
              </w:rPr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  <w:sz w:val="22"/>
              </w:rPr>
              <w:t xml:space="preserve">Осуществление 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sz w:val="22"/>
              </w:rPr>
              <w:t xml:space="preserve">на территории муниципального округа Пуровский район Ямало-Ненецкого автономного округа</w:t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Изменяемая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 рамках принимаемого решения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изменяются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изменяются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2. Наименование структурного подразделения органа местного самоуправления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требуется в связи с отсутствием</w:t>
      </w:r>
      <w:r/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6.1. Наименование функции (полномочия, обязанности или права) (в соответствии с пунктом 5.1)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6.2. Виды расходов (возможных поступлений) бюджет района, бюджет города</w:t>
            </w:r>
            <w:r/>
          </w:p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6.3. Количественная оценка расходов и возможных поступлений (млн. рублей)</w:t>
            </w:r>
            <w:r/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Наименование органа местного самоуправления</w:t>
            </w:r>
            <w:r>
              <w:rPr>
                <w:rFonts w:ascii="Liberation Serif" w:hAnsi="Liberation Serif" w:cs="Times New Roman"/>
              </w:rPr>
              <w:t xml:space="preserve">:</w:t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1) Департамент транспорта, связи и систем жизнеобеспечения Администрации Пуровского района - </w:t>
            </w:r>
            <w:r>
              <w:rPr>
                <w:rFonts w:ascii="Liberation Serif" w:hAnsi="Liberation Serif" w:cs="Times New Roman"/>
              </w:rPr>
              <w:t xml:space="preserve">в границах Пуровского района, города </w:t>
            </w:r>
            <w:r>
              <w:rPr>
                <w:rFonts w:ascii="Liberation Serif" w:hAnsi="Liberation Serif" w:cs="Times New Roman"/>
              </w:rPr>
              <w:t xml:space="preserve">Тарко</w:t>
            </w:r>
            <w:r>
              <w:rPr>
                <w:rFonts w:ascii="Liberation Serif" w:hAnsi="Liberation Serif" w:cs="Times New Roman"/>
              </w:rPr>
              <w:t xml:space="preserve">-Сале и села Толька;</w:t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</w:rPr>
              <w:t xml:space="preserve">1.1. </w:t>
            </w:r>
            <w:r>
              <w:rPr>
                <w:rFonts w:ascii="Liberation Serif" w:hAnsi="Liberation Serif" w:cs="Times New Roman"/>
                <w:sz w:val="22"/>
              </w:rPr>
              <w:t xml:space="preserve">Функция (полномочие, обязанность или право)</w:t>
            </w:r>
            <w:r>
              <w:rPr>
                <w:sz w:val="22"/>
              </w:rPr>
            </w:r>
            <w:r/>
          </w:p>
          <w:p>
            <w:pPr>
              <w:pStyle w:val="816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Осуществление 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sz w:val="22"/>
              </w:rPr>
              <w:t xml:space="preserve">на территории муниципального округа Пуровский район Ямало-Ненецкого автономного округа</w:t>
            </w:r>
            <w:r>
              <w:rPr>
                <w:sz w:val="22"/>
              </w:rPr>
            </w:r>
            <w:r/>
          </w:p>
          <w:p>
            <w:pPr>
              <w:pStyle w:val="816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единовременные расходы в _____ 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периодические расходы за период 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возможные доходы за период _____</w:t>
            </w:r>
            <w:r>
              <w:rPr>
                <w:rFonts w:ascii="Liberation Serif" w:hAnsi="Liberation Serif" w:cs="Times New Roman"/>
              </w:rPr>
              <w:t xml:space="preserve">_ 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1.2. Функция (полномочие, обязанность или право)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единовременные расходы в ______ 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периодические расходы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возможные доходы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Итого единовременные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Итого периодические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Итого возможные доходы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/>
          <w:sz w:val="24"/>
          <w:szCs w:val="24"/>
        </w:rPr>
        <w:t xml:space="preserve">, возникающих в связи с введением предлагаемого правового регулирования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отсутствуют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6.5. Источники данных</w:t>
      </w:r>
      <w:r>
        <w:rPr>
          <w:rFonts w:ascii="Liberation Serif" w:hAnsi="Liberation Serif" w:cs="Times New Roman"/>
          <w:b/>
          <w:sz w:val="24"/>
          <w:szCs w:val="24"/>
        </w:rPr>
        <w:t xml:space="preserve">: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определены.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не измен</w:t>
      </w:r>
      <w:r>
        <w:rPr>
          <w:rFonts w:ascii="Liberation Serif" w:hAnsi="Liberation Serif" w:cs="Times New Roman"/>
          <w:b/>
          <w:sz w:val="24"/>
          <w:szCs w:val="24"/>
        </w:rPr>
        <w:t xml:space="preserve">я</w:t>
      </w:r>
      <w:r>
        <w:rPr>
          <w:rFonts w:ascii="Liberation Serif" w:hAnsi="Liberation Serif" w:cs="Times New Roman"/>
          <w:b/>
          <w:sz w:val="24"/>
          <w:szCs w:val="24"/>
        </w:rPr>
        <w:t xml:space="preserve">тся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7.4. Количественная оценка (млн. рублей)</w:t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Группа 1</w:t>
            </w:r>
            <w:r/>
          </w:p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Индивидуальные предприниматели, юридические и физические лица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выявлены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выявлены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Группа 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>
        <w:rPr>
          <w:rFonts w:ascii="Liberation Serif" w:hAnsi="Liberation Serif" w:cs="Times New Roman"/>
          <w:sz w:val="24"/>
          <w:szCs w:val="24"/>
        </w:rPr>
        <w:t xml:space="preserve">отсутству</w:t>
      </w:r>
      <w:r>
        <w:rPr>
          <w:rFonts w:ascii="Liberation Serif" w:hAnsi="Liberation Serif" w:cs="Times New Roman"/>
          <w:sz w:val="24"/>
          <w:szCs w:val="24"/>
        </w:rPr>
        <w:t xml:space="preserve">ю</w:t>
      </w:r>
      <w:r>
        <w:rPr>
          <w:rFonts w:ascii="Liberation Serif" w:hAnsi="Liberation Serif" w:cs="Times New Roman"/>
          <w:sz w:val="24"/>
          <w:szCs w:val="24"/>
        </w:rPr>
        <w:t xml:space="preserve">т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7.6. Источники данных: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определены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отсутствуют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8.1. Виды рисков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8.2. Оценка вероятности наступления неблагоприятных последствий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8.3. Методы контроля рисков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8.4. Степень контроля рисков (полный/частичный/</w:t>
            </w:r>
            <w:r/>
          </w:p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отсутствует)</w:t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выявлены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Отсутствуют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8.5. Источники данных</w:t>
      </w:r>
      <w:r>
        <w:rPr>
          <w:rFonts w:ascii="Liberation Serif" w:hAnsi="Liberation Serif" w:cs="Times New Roman"/>
          <w:sz w:val="24"/>
          <w:szCs w:val="24"/>
        </w:rPr>
        <w:t xml:space="preserve">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определены</w:t>
      </w:r>
      <w:r/>
    </w:p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9. Сравнение возможных вариантов решения проблемы: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требуется</w:t>
      </w:r>
      <w:r/>
    </w:p>
    <w:tbl>
      <w:tblPr>
        <w:tblW w:w="95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Вариант 1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Вариант 2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Вариант 3</w:t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9.1. Содержание варианта решения проблемы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Принятие проекта решения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Отказ от принятия проекта решения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повлияет на численность потенциальных адресатов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Количество расходов и доходов не изменится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9.4. Оценка расходов (</w:t>
            </w:r>
            <w:r>
              <w:rPr>
                <w:rFonts w:ascii="Liberation Serif" w:hAnsi="Liberation Serif" w:cs="Times New Roman"/>
                <w:szCs w:val="22"/>
              </w:rPr>
              <w:t xml:space="preserve">доходов) </w:t>
            </w:r>
            <w:r>
              <w:rPr>
                <w:rFonts w:ascii="Liberation Serif" w:hAnsi="Liberation Serif" w:cs="Times New Roman" w:eastAsiaTheme="minorHAnsi"/>
                <w:szCs w:val="22"/>
                <w:lang w:eastAsia="en-US"/>
              </w:rPr>
              <w:t xml:space="preserve">бюджет района, бюджет города</w:t>
            </w:r>
            <w:r>
              <w:rPr>
                <w:rFonts w:ascii="Liberation Serif" w:hAnsi="Liberation Serif" w:cs="Times New Roman"/>
                <w:szCs w:val="22"/>
              </w:rPr>
              <w:t xml:space="preserve">, связанных с введением предлагаемого</w:t>
            </w:r>
            <w:r>
              <w:rPr>
                <w:rFonts w:ascii="Liberation Serif" w:hAnsi="Liberation Serif" w:cs="Times New Roman"/>
                <w:sz w:val="24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 xml:space="preserve">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Цель будет достигнута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Цель будет достигнута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9.6. Оценка рисков неблагоприятных последствий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Отсутствует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9.7. Обоснование выбора предпочтительного варианта решения выявленной проблемы: </w:t>
      </w:r>
      <w:r>
        <w:rPr>
          <w:rFonts w:ascii="Liberation Serif" w:hAnsi="Liberation Serif" w:cs="Times New Roman"/>
          <w:sz w:val="24"/>
          <w:szCs w:val="24"/>
        </w:rPr>
        <w:t xml:space="preserve">Утверждение п</w:t>
      </w:r>
      <w:r>
        <w:rPr>
          <w:rFonts w:ascii="Liberation Serif" w:hAnsi="Liberation Serif"/>
          <w:sz w:val="24"/>
          <w:szCs w:val="24"/>
        </w:rPr>
        <w:t xml:space="preserve">роекта Решения Пуровской Думы </w:t>
      </w:r>
      <w:r>
        <w:rPr>
          <w:rFonts w:ascii="Liberation Serif" w:hAnsi="Liberation Serif"/>
          <w:sz w:val="24"/>
          <w:szCs w:val="24"/>
        </w:rPr>
        <w:t xml:space="preserve">«О</w:t>
      </w:r>
      <w:r>
        <w:rPr>
          <w:rFonts w:ascii="Liberation Serif" w:hAnsi="Liberation Serif"/>
          <w:sz w:val="24"/>
          <w:szCs w:val="24"/>
        </w:rPr>
        <w:t xml:space="preserve"> внесении изменения 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Положени</w:t>
      </w:r>
      <w:r>
        <w:rPr>
          <w:rFonts w:ascii="Liberation Serif" w:hAnsi="Liberation Serif"/>
          <w:bCs/>
          <w:sz w:val="24"/>
          <w:szCs w:val="24"/>
        </w:rPr>
        <w:t xml:space="preserve">е</w:t>
      </w:r>
      <w:r>
        <w:rPr>
          <w:rFonts w:ascii="Liberation Serif" w:hAnsi="Liberation Serif"/>
          <w:bCs/>
          <w:sz w:val="24"/>
          <w:szCs w:val="24"/>
        </w:rPr>
        <w:t xml:space="preserve"> 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Style w:val="821"/>
          <w:rFonts w:ascii="Liberation Serif" w:hAnsi="Liberation Serif" w:cs="Liberation Serif" w:eastAsia="Liberation Serif"/>
          <w:i w:val="0"/>
          <w:sz w:val="24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(с изменениями от 24 февраля.2022 года № 363)</w:t>
      </w:r>
      <w:r>
        <w:rPr>
          <w:rFonts w:ascii="Liberation Serif" w:hAnsi="Liberation Serif"/>
          <w:sz w:val="24"/>
          <w:szCs w:val="24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, позволит </w:t>
      </w:r>
      <w:r>
        <w:rPr>
          <w:rFonts w:ascii="Liberation Serif" w:hAnsi="Liberation Serif"/>
          <w:sz w:val="24"/>
          <w:szCs w:val="24"/>
        </w:rPr>
        <w:t xml:space="preserve">снизить административную нагрузку на </w:t>
      </w:r>
      <w:r>
        <w:rPr>
          <w:rFonts w:ascii="Liberation Serif" w:hAnsi="Liberation Serif"/>
          <w:sz w:val="24"/>
          <w:szCs w:val="24"/>
        </w:rPr>
        <w:t xml:space="preserve">юридических лиц и индивидуальных предпринимателей</w:t>
      </w:r>
      <w:r>
        <w:rPr>
          <w:rFonts w:ascii="Liberation Serif" w:hAnsi="Liberation Serif"/>
          <w:sz w:val="24"/>
          <w:szCs w:val="24"/>
        </w:rPr>
        <w:t xml:space="preserve">, повысит </w:t>
      </w:r>
      <w:r>
        <w:rPr>
          <w:rFonts w:ascii="Liberation Serif" w:hAnsi="Liberation Serif"/>
          <w:sz w:val="24"/>
          <w:szCs w:val="24"/>
        </w:rPr>
        <w:t xml:space="preserve">их </w:t>
      </w:r>
      <w:r>
        <w:rPr>
          <w:rFonts w:ascii="Liberation Serif" w:hAnsi="Liberation Serif"/>
          <w:sz w:val="24"/>
          <w:szCs w:val="24"/>
        </w:rPr>
        <w:t xml:space="preserve">информированность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9.8. Детальное описание предлагаемого варианта решения проблемы:</w:t>
      </w:r>
      <w:r>
        <w:rPr>
          <w:rFonts w:ascii="Liberation Serif" w:hAnsi="Liberation Serif" w:cs="Times New Roman"/>
          <w:sz w:val="24"/>
          <w:szCs w:val="24"/>
        </w:rPr>
        <w:t xml:space="preserve"> рассмотрение и принятие представительным органом проекта Решения </w:t>
      </w:r>
      <w:r>
        <w:rPr>
          <w:rFonts w:ascii="Liberation Serif" w:hAnsi="Liberation Serif"/>
          <w:sz w:val="24"/>
          <w:szCs w:val="24"/>
        </w:rPr>
        <w:t xml:space="preserve">«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 внесении изменения 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Положени</w:t>
      </w:r>
      <w:r>
        <w:rPr>
          <w:rFonts w:ascii="Liberation Serif" w:hAnsi="Liberation Serif"/>
          <w:bCs/>
          <w:sz w:val="24"/>
          <w:szCs w:val="24"/>
        </w:rPr>
        <w:t xml:space="preserve">е</w:t>
      </w:r>
      <w:r>
        <w:rPr>
          <w:rFonts w:ascii="Liberation Serif" w:hAnsi="Liberation Serif"/>
          <w:bCs/>
          <w:sz w:val="24"/>
          <w:szCs w:val="24"/>
        </w:rPr>
        <w:t xml:space="preserve"> 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Style w:val="821"/>
          <w:rFonts w:ascii="Liberation Serif" w:hAnsi="Liberation Serif" w:cs="Liberation Serif" w:eastAsia="Liberation Serif"/>
          <w:i w:val="0"/>
          <w:sz w:val="24"/>
        </w:rPr>
        <w:t xml:space="preserve">, утвержденное решением Думы Пуровского района от 21 октября 2021 года № 302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(с изменениями от 24 февраля.2022 года № 363)</w:t>
      </w:r>
      <w:r>
        <w:rPr>
          <w:rFonts w:ascii="Liberation Serif" w:hAnsi="Liberation Serif"/>
          <w:sz w:val="24"/>
          <w:szCs w:val="24"/>
        </w:rPr>
        <w:t xml:space="preserve">»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/>
      <w:bookmarkStart w:id="4" w:name="P672"/>
      <w:r/>
      <w:bookmarkEnd w:id="4"/>
      <w:r>
        <w:rPr>
          <w:rFonts w:ascii="Liberation Serif" w:hAnsi="Liberation Serif" w:cs="Times New Roman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10.1. Предполагаемая дата вступления в силу нормативного правового акта: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26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>
        <w:rPr>
          <w:rFonts w:ascii="Liberation Serif" w:hAnsi="Liberation Serif" w:cs="Times New Roman"/>
          <w:b/>
          <w:sz w:val="24"/>
          <w:szCs w:val="24"/>
        </w:rPr>
        <w:t xml:space="preserve">10</w:t>
      </w:r>
      <w:r>
        <w:rPr>
          <w:rFonts w:ascii="Liberation Serif" w:hAnsi="Liberation Serif" w:cs="Times New Roman"/>
          <w:b/>
          <w:sz w:val="24"/>
          <w:szCs w:val="24"/>
        </w:rPr>
        <w:t xml:space="preserve">.202</w:t>
      </w:r>
      <w:r>
        <w:rPr>
          <w:rFonts w:ascii="Liberation Serif" w:hAnsi="Liberation Serif" w:cs="Times New Roman"/>
          <w:b/>
          <w:sz w:val="24"/>
          <w:szCs w:val="24"/>
        </w:rPr>
        <w:t xml:space="preserve">3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10.3.1. Период распространения на ранее возникшие отношения: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/>
      <w:bookmarkStart w:id="5" w:name="P697"/>
      <w:r/>
      <w:bookmarkEnd w:id="5"/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9"/>
        <w:jc w:val="both"/>
        <w:spacing w:before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начало: </w:t>
      </w:r>
      <w:r>
        <w:rPr>
          <w:rFonts w:ascii="Liberation Serif" w:hAnsi="Liberation Serif" w:cs="Times New Roman"/>
          <w:sz w:val="24"/>
          <w:szCs w:val="24"/>
        </w:rPr>
        <w:t xml:space="preserve">06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09</w:t>
      </w:r>
      <w:r>
        <w:rPr>
          <w:rFonts w:ascii="Liberation Serif" w:hAnsi="Liberation Serif" w:cs="Times New Roman"/>
          <w:sz w:val="24"/>
          <w:szCs w:val="24"/>
        </w:rPr>
        <w:t xml:space="preserve">.202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окончание: </w:t>
      </w:r>
      <w:r>
        <w:rPr>
          <w:rFonts w:ascii="Liberation Serif" w:hAnsi="Liberation Serif" w:cs="Times New Roman"/>
          <w:sz w:val="24"/>
          <w:szCs w:val="24"/>
        </w:rPr>
        <w:t xml:space="preserve">12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09</w:t>
      </w:r>
      <w:r>
        <w:rPr>
          <w:rFonts w:ascii="Liberation Serif" w:hAnsi="Liberation Serif" w:cs="Times New Roman"/>
          <w:sz w:val="24"/>
          <w:szCs w:val="24"/>
        </w:rPr>
        <w:t xml:space="preserve">.202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Всего замечаний и предложений: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не поступило.</w:t>
      </w:r>
      <w:r/>
    </w:p>
    <w:p>
      <w:pPr>
        <w:pStyle w:val="817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@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.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.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ru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Приложение.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erif" w:hAnsi="Liberation Serif" w:cs="Times New Roman"/>
          <w:sz w:val="24"/>
          <w:szCs w:val="24"/>
        </w:rPr>
        <w:t xml:space="preserve"> – не поступили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И.о</w:t>
      </w:r>
      <w:r>
        <w:rPr>
          <w:rFonts w:ascii="Liberation Serif" w:hAnsi="Liberation Serif" w:cs="Times New Roman"/>
          <w:sz w:val="24"/>
          <w:szCs w:val="24"/>
        </w:rPr>
        <w:t xml:space="preserve">. н</w:t>
      </w:r>
      <w:r>
        <w:rPr>
          <w:rFonts w:ascii="Liberation Serif" w:hAnsi="Liberation Serif" w:cs="Times New Roman"/>
          <w:sz w:val="24"/>
          <w:szCs w:val="24"/>
        </w:rPr>
        <w:t xml:space="preserve">ачальник</w:t>
      </w:r>
      <w:r>
        <w:rPr>
          <w:rFonts w:ascii="Liberation Serif" w:hAnsi="Liberation Serif" w:cs="Times New Roman"/>
          <w:sz w:val="24"/>
          <w:szCs w:val="24"/>
        </w:rPr>
        <w:t xml:space="preserve">а</w:t>
      </w:r>
      <w:r>
        <w:rPr>
          <w:rFonts w:ascii="Liberation Serif" w:hAnsi="Liberation Serif" w:cs="Times New Roman"/>
          <w:sz w:val="24"/>
          <w:szCs w:val="24"/>
        </w:rPr>
        <w:t xml:space="preserve"> Департамента транспорта, связи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систем жизнеобеспечения Администрации 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Пуровского района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                   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left="566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А.</w:t>
      </w:r>
      <w:r>
        <w:rPr>
          <w:rFonts w:ascii="Liberation Serif" w:hAnsi="Liberation Serif" w:cs="Times New Roman"/>
          <w:sz w:val="24"/>
          <w:szCs w:val="24"/>
        </w:rPr>
        <w:t xml:space="preserve">В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sz w:val="24"/>
          <w:szCs w:val="24"/>
        </w:rPr>
        <w:t xml:space="preserve">Ефимов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05.0</w:t>
      </w:r>
      <w:r>
        <w:rPr>
          <w:rFonts w:ascii="Liberation Serif" w:hAnsi="Liberation Serif" w:cs="Times New Roman"/>
          <w:sz w:val="24"/>
          <w:szCs w:val="24"/>
        </w:rPr>
        <w:t xml:space="preserve">9.202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/>
    </w:p>
    <w:p>
      <w:pPr>
        <w:pStyle w:val="81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                       ________________    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_______________________</w:t>
      </w:r>
      <w:r/>
    </w:p>
    <w:p>
      <w:pPr>
        <w:pStyle w:val="81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(</w:t>
      </w:r>
      <w:r>
        <w:rPr>
          <w:rFonts w:ascii="Liberation Serif" w:hAnsi="Liberation Serif" w:cs="Times New Roman"/>
        </w:rPr>
        <w:t xml:space="preserve">дата)   </w:t>
      </w:r>
      <w:r>
        <w:rPr>
          <w:rFonts w:ascii="Liberation Serif" w:hAnsi="Liberation Serif" w:cs="Times New Roman"/>
        </w:rPr>
        <w:t xml:space="preserve">                                                    (подпись)                        </w:t>
      </w:r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 </w:t>
      </w:r>
      <w:r>
        <w:rPr>
          <w:rFonts w:ascii="Liberation Serif" w:hAnsi="Liberation Serif" w:cs="Times New Roman"/>
        </w:rPr>
        <w:t xml:space="preserve">           </w:t>
      </w:r>
      <w:r>
        <w:rPr>
          <w:rFonts w:ascii="Liberation Serif" w:hAnsi="Liberation Serif" w:cs="Times New Roman"/>
        </w:rPr>
        <w:t xml:space="preserve"> (инициалы, фамилия)</w:t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1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3"/>
    <w:link w:val="812"/>
    <w:uiPriority w:val="9"/>
    <w:rPr>
      <w:rFonts w:ascii="Arial" w:hAnsi="Arial" w:cs="Arial" w:eastAsia="Arial"/>
      <w:sz w:val="34"/>
    </w:rPr>
  </w:style>
  <w:style w:type="paragraph" w:styleId="636">
    <w:name w:val="Heading 3"/>
    <w:basedOn w:val="810"/>
    <w:next w:val="810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7">
    <w:name w:val="Heading 3 Char"/>
    <w:basedOn w:val="813"/>
    <w:link w:val="636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9">
    <w:name w:val="Heading 4 Char"/>
    <w:basedOn w:val="813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1">
    <w:name w:val="Heading 5 Char"/>
    <w:basedOn w:val="813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3">
    <w:name w:val="Heading 6 Char"/>
    <w:basedOn w:val="813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7 Char"/>
    <w:basedOn w:val="813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7">
    <w:name w:val="Heading 8 Char"/>
    <w:basedOn w:val="813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9">
    <w:name w:val="Heading 9 Char"/>
    <w:basedOn w:val="813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10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3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3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3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3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3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3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1">
    <w:name w:val="Heading 1"/>
    <w:basedOn w:val="810"/>
    <w:link w:val="818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12">
    <w:name w:val="Heading 2"/>
    <w:basedOn w:val="810"/>
    <w:next w:val="810"/>
    <w:link w:val="819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18" w:customStyle="1">
    <w:name w:val="Заголовок 1 Знак"/>
    <w:basedOn w:val="813"/>
    <w:link w:val="81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19" w:customStyle="1">
    <w:name w:val="Заголовок 2 Знак"/>
    <w:basedOn w:val="813"/>
    <w:link w:val="81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820" w:customStyle="1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821">
    <w:name w:val="Emphasis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revision>15</cp:revision>
  <dcterms:created xsi:type="dcterms:W3CDTF">2021-09-01T05:21:00Z</dcterms:created>
  <dcterms:modified xsi:type="dcterms:W3CDTF">2023-09-05T11:46:19Z</dcterms:modified>
</cp:coreProperties>
</file>