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Сводный отчет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center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 результатах проведения публичных консультаций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0" w:name="P379"/>
      <w:r>
        <w:rPr>
          <w:rFonts w:ascii="Liberation Sans" w:hAnsi="Liberation Sans" w:cs="Liberation Sans" w:eastAsia="Liberation Sans"/>
          <w:sz w:val="24"/>
        </w:rPr>
      </w:r>
      <w:bookmarkEnd w:id="0"/>
      <w:r>
        <w:rPr>
          <w:rFonts w:ascii="Liberation Sans" w:hAnsi="Liberation Sans" w:cs="Liberation Sans" w:eastAsia="Liberation Sans"/>
          <w:sz w:val="24"/>
          <w:szCs w:val="24"/>
        </w:rPr>
        <w:t xml:space="preserve">1. Общая информация: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1.1. Орган-разработчик (полное и краткое наименования):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района, Департамент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ТСиСЖ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Администрации Пуровского района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1.2. Вид и наименование проекта нормативного правового акта: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Проект р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ешени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Думы Пуровского района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 внесении изменений в Положение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утвержденное решением Думы Пуровского района от 21 октября 2021 года № 301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(с изменениями от 24 февраля 2022 года, 26 октября 2023 года)</w:t>
      </w:r>
      <w:r/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25.04.2024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Актуализация Положения о муниципальном контроле в сфере благоустройства.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jc w:val="both"/>
        <w:shd w:val="clear" w:color="auto" w:fill="ffffff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ab/>
        <w:t xml:space="preserve">1.5. Краткое описание целей предлагаемого правового регулирования: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jc w:val="both"/>
        <w:shd w:val="clear" w:color="auto" w:fill="ffffff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ab/>
      </w:r>
      <w:r>
        <w:rPr>
          <w:rFonts w:ascii="Liberation Sans" w:hAnsi="Liberation Sans" w:cs="Liberation Sans" w:eastAsia="Liberation Sans"/>
          <w:sz w:val="24"/>
        </w:rPr>
        <w:t xml:space="preserve">Регулирование отношений, возникающих в связи с организацией и осуществлением муниципального контроля в сфере благоустройства.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1.6. Краткое описание содержания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highlight w:val="none"/>
        </w:rPr>
        <w:t xml:space="preserve">Актуализация и приведение в соответствие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округа Пуровский район</w:t>
      </w:r>
      <w:r>
        <w:rPr>
          <w:rFonts w:ascii="Liberation Sans" w:hAnsi="Liberation Sans" w:cs="Liberation Sans" w:eastAsia="Liberation Sans"/>
          <w:sz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1.7. Контактная информация исполнителя органа-разработчика:</w:t>
      </w:r>
      <w:r>
        <w:rPr>
          <w:rFonts w:ascii="Liberation Sans" w:hAnsi="Liberation Sans" w:cs="Liberation Sans" w:eastAsia="Liberation Sans"/>
          <w:color w:val="00000A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Ф.И.О.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Симбаев Анвар Магомед-Арипович.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Должность: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З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аведующий сектором реализации отдельных полномочий в сфере благоустройства отдела благоустройства Управления энергетики, жилищно-коммунального комплекса и благоустройства Департамента транспорта, связи и систем жизнеобеспечения Администрации Пуровского рай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она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ел.: 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8 (34997) 2-32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-</w:t>
      </w:r>
      <w:r>
        <w:rPr>
          <w:rFonts w:ascii="Liberation Sans" w:hAnsi="Liberation Sans" w:cs="Liberation Sans" w:eastAsia="Liberation Sans"/>
          <w:bCs/>
          <w:sz w:val="24"/>
          <w:szCs w:val="24"/>
        </w:rPr>
        <w:t xml:space="preserve">05, 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дрес электронной почты: 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utsg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@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pur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yanao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ru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ind w:firstLine="708"/>
        <w:jc w:val="both"/>
        <w:shd w:val="clear" w:color="auto" w:fill="ffffff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highlight w:val="none"/>
        </w:rPr>
        <w:t xml:space="preserve">Актуализация и приведение в соответствие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округа Пуровский район</w:t>
      </w:r>
      <w:r>
        <w:rPr>
          <w:rFonts w:ascii="Liberation Sans" w:hAnsi="Liberation Sans" w:cs="Liberation Sans" w:eastAsia="Liberation Sans"/>
          <w:sz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21"/>
        <w:ind w:left="709" w:firstLine="0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2.1. Формулировка проблемы: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/>
    </w:p>
    <w:p>
      <w:pPr>
        <w:pStyle w:val="821"/>
        <w:ind w:left="0" w:right="0" w:firstLine="709"/>
        <w:jc w:val="both"/>
        <w:rPr>
          <w:rFonts w:ascii="Liberation Sans" w:hAnsi="Liberation Sans" w:cs="Liberation Sans" w:eastAsia="Liberation Sans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highlight w:val="none"/>
        </w:rPr>
        <w:t xml:space="preserve">Конкретизируется предмет муниципального контроля в сфере благоустройства;</w:t>
      </w:r>
      <w:r>
        <w:rPr>
          <w:rFonts w:ascii="Liberation Sans" w:hAnsi="Liberation Sans" w:cs="Liberation Sans" w:eastAsia="Liberation Sans"/>
          <w:highlight w:val="none"/>
        </w:rPr>
      </w:r>
      <w:r/>
    </w:p>
    <w:p>
      <w:pPr>
        <w:pStyle w:val="821"/>
        <w:ind w:left="0" w:right="0" w:firstLine="709"/>
        <w:jc w:val="both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none"/>
        </w:rPr>
        <w:t xml:space="preserve">Из перечня контролируемых лиц, </w:t>
      </w:r>
      <w:r>
        <w:rPr>
          <w:rFonts w:ascii="Liberation Sans" w:hAnsi="Liberation Sans" w:cs="Liberation Sans" w:eastAsia="Liberation Sans"/>
          <w:highlight w:val="none"/>
        </w:rPr>
        <w:t xml:space="preserve">имеющих право предоставить в контрольный орган информацию о невозможности присутствия при проведении контр</w:t>
      </w:r>
      <w:r>
        <w:rPr>
          <w:rFonts w:ascii="Liberation Sans" w:hAnsi="Liberation Sans" w:cs="Liberation Sans" w:eastAsia="Liberation Sans"/>
          <w:highlight w:val="white"/>
        </w:rPr>
        <w:t xml:space="preserve">ольного мероприятия</w:t>
      </w:r>
      <w:r>
        <w:rPr>
          <w:rFonts w:ascii="Liberation Sans" w:hAnsi="Liberation Sans" w:cs="Liberation Sans" w:eastAsia="Liberation Sans"/>
          <w:highlight w:val="white"/>
        </w:rPr>
        <w:t xml:space="preserve"> исключается юридическое лицо;</w:t>
      </w: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821"/>
        <w:ind w:left="0" w:right="0" w:firstLine="709"/>
        <w:jc w:val="both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  <w:t xml:space="preserve">Уточняются контрольные действия, которые могут совершаться в ходе контрольных мероприятий при проведении муниципального контроля в сфере благоустройства.</w:t>
      </w: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817"/>
        <w:ind w:left="0" w:right="0" w:firstLine="709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/>
          <w:sz w:val="24"/>
          <w:lang w:eastAsia="en-US"/>
        </w:rPr>
      </w:r>
      <w:r>
        <w:rPr>
          <w:rFonts w:ascii="Liberation Sans" w:hAnsi="Liberation Sans" w:cs="Liberation Sans" w:eastAsia="Liberation Sans"/>
          <w:highlight w:val="none"/>
        </w:rPr>
        <w:t xml:space="preserve">на основании заключения правовой экспертизы Департамента внутренней политики Ямало-Ненецкого автономного округа актуализируется и приводится в соответствие Положение о муниципальном контроле в сфере благоустройства.</w:t>
      </w:r>
      <w:r/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юридические лица, индивидуальные предприниматели, физические лица.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отсутствуют.</w:t>
      </w:r>
      <w:r/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sz w:val="24"/>
          <w:szCs w:val="24"/>
          <w:highlight w:val="none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отсутствуют.</w:t>
      </w:r>
      <w:r/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1"/>
        <w:jc w:val="both"/>
        <w:spacing w:before="0" w:beforeAutospacing="0" w:after="144" w:afterAutospacing="0" w:line="293" w:lineRule="atLeast"/>
        <w:shd w:val="clear" w:color="auto" w:fill="ffffff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полномочия по осуществлению муниципального контроля закреплены</w:t>
      </w:r>
      <w:r>
        <w:rPr>
          <w:rFonts w:ascii="Liberation Sans" w:hAnsi="Liberation Sans" w:cs="Liberation Sans" w:eastAsia="Liberation Sans"/>
          <w:b w:val="0"/>
          <w:sz w:val="24"/>
          <w:szCs w:val="24"/>
        </w:rPr>
        <w:t xml:space="preserve"> Ф</w:t>
      </w:r>
      <w:r>
        <w:rPr>
          <w:rFonts w:ascii="Liberation Sans" w:hAnsi="Liberation Sans" w:cs="Liberation Sans" w:eastAsia="Liberation Sans"/>
          <w:b w:val="0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информация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2.8. Источники данных: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информация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2.9. Иная информация о проблеме: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1" w:name="P443"/>
      <w:r>
        <w:rPr>
          <w:rFonts w:ascii="Liberation Sans" w:hAnsi="Liberation Sans" w:cs="Liberation Sans" w:eastAsia="Liberation Sans"/>
          <w:sz w:val="24"/>
        </w:rPr>
      </w:r>
      <w:bookmarkEnd w:id="1"/>
      <w:r>
        <w:rPr>
          <w:rFonts w:ascii="Liberation Sans" w:hAnsi="Liberation Sans" w:cs="Liberation Sans" w:eastAsia="Liberation Sans"/>
          <w:sz w:val="24"/>
          <w:szCs w:val="24"/>
        </w:rPr>
        <w:t xml:space="preserve">3. Определение целей предлагаемого правового регулирования 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индикаторов для оценки их достижения: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3.1. Цели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3.2. Сроки достижения целей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3.3. Периодичность мониторинга достижения целей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Осуществление муниципального контроля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С момента принятия решения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Ежегодно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(указывается нормативный правовой акт более высокого уровня либо инициативный порядок разработки)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3.5. Цели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3.6. Индикаторы достижения целей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3.7. Единица измерения индикаторов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3.8. Целевые значения индикаторов по годам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Цель 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Недопущение проведения 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контрольных  мероприятий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 с грубым нарушением требований, результаты которых отменены судом, в общем количестве проведенных контрольных мероприятий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1.1. Индикатор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Cs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2"/>
              </w:rPr>
              <w:t xml:space="preserve">Индикаторы отсутствуют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Цель 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Изменение 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направления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 контрольной деятельности с проверочных мероприятий на профилактические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2"/>
              </w:rPr>
              <w:t xml:space="preserve">1.2. Индикатор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bCs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2"/>
              </w:rPr>
              <w:t xml:space="preserve">Индикаторы отсутствуют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color w:val="FF0000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color w:val="FF0000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расчеты проводятся на основании количественных показателей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проведенных проверок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и профилактических мероприятий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требуется.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952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bookmarkStart w:id="2" w:name="P500"/>
            <w:r>
              <w:rPr>
                <w:rFonts w:ascii="Liberation Sans" w:hAnsi="Liberation Sans" w:cs="Liberation Sans" w:eastAsia="Liberation Sans"/>
                <w:sz w:val="24"/>
              </w:rPr>
            </w:r>
            <w:bookmarkEnd w:id="2"/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4.2. Количество участников группы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4.3. Источники данных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(Группа 1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Юридические лица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, индивидуальные предприниматели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Статистические 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данные контрольного органа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(Группа 2)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Физические лица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Неустановленный круг лиц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ans" w:hAnsi="Liberation Sans" w:cs="Liberation Sans" w:eastAsia="Liberation Sans"/>
                <w:sz w:val="24"/>
                <w:szCs w:val="22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Статистические данные контрольного органа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9"/>
        <w:jc w:val="both"/>
        <w:spacing w:before="12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функции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измен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я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тся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bookmarkStart w:id="3" w:name="P518"/>
            <w:r>
              <w:rPr>
                <w:rFonts w:ascii="Liberation Sans" w:hAnsi="Liberation Sans" w:cs="Liberation Sans" w:eastAsia="Liberation Sans"/>
                <w:sz w:val="24"/>
              </w:rPr>
            </w:r>
            <w:bookmarkEnd w:id="3"/>
            <w:r>
              <w:rPr>
                <w:rFonts w:ascii="Liberation Sans" w:hAnsi="Liberation Sans" w:cs="Liberation Sans" w:eastAsia="Liberation Sans"/>
                <w:sz w:val="24"/>
              </w:rPr>
              <w:t xml:space="preserve">5.1. Наименование функции (полномочия, обязанности или права)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5.2. Характер функции (новая/изменяемая/отменяемая)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5.3. Предпола-гаемый порядок реализа-ции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5.4. Оценка изменения трудовых затрат (чел./час в год), изменения численности сотрудников (чел.)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5.5. Оценка изменения потребностей в других ресурсах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 Наименование структурного подразделения органа местного самоуправления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1) Департамент транспорта, связи и систем жизнеобеспечения Администрации Пуровского района - в границах Пуровского района, города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-Сале и села Толька;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Осуществление муниципального жилищного контроля на территории муниципального округа Пуровский район Ямало-Ненецкого автономного округа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Изменяемая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 рамках принимаемого решения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Не изменяются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Не изменяются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 Наименование структурного подразделения органа местного самоуправления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9"/>
        <w:jc w:val="both"/>
        <w:spacing w:before="12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ans" w:hAnsi="Liberation Sans" w:cs="Liberation Sans" w:eastAsia="Liberation Sans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требуется в связи с отсутствием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6.1. Наименование функции (полномочия, обязанности или права) (в соответствии с пунктом 5.1)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6.2. Виды расходов (возможных поступлений) бюджет района, бюджет города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6.3. Количественная оценка расходов и возможных поступлений (млн. рублей)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Наименование органа местного самоуправления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1) Департамент транспорта, связи и систем жизнеобеспечения Администрации Пуровского района -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в границах Пуровского района, города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Тарко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-Сале и села Толька;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1.1. 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Осуществление муниципального контроля в сфере благоустройства на территории муниципального округа Пуровский район Ямало-Ненецкого автономного округа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единовременные расходы в _____ г.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периодические расходы за период _____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возможные доходы за период _____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_ 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1.2. Функция (полномочие, обязанность или право)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единовременные расходы в ______ г.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периодические расходы за период ______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возможные доходы за период ______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Итого единовременные расходы за период _____ гг.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Итого периодические расходы за период _____ гг.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Итого возможные доходы за период _____ гг.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ans" w:hAnsi="Liberation Sans" w:cs="Liberation Sans" w:eastAsia="Liberation Sans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возникающих в связи с введением предлагаемого правового регулирования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отсутствуют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6.5. Источники данных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определены.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измен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я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тся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7.4. Количественная оценка (млн. рублей)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Группа 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Индивидуальные предприниматели, юридические и физические лица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Не выявлены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Не выявлены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Группа 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9"/>
        <w:jc w:val="both"/>
        <w:spacing w:before="12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отсутству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ю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7.6. Источники данных: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определены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отсутствуют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8.1. Виды рисков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8.2. Оценка вероятности наступления неблагоприятных последствий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8.3. Методы контроля рисков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8.4. Степень контроля рисков (полный/частичный/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отсутствует)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Не выявлены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Отсутствуют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9"/>
        <w:jc w:val="both"/>
        <w:spacing w:before="12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8.5. Источники данных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определены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9. Сравнение возможных вариантов решения проблемы: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не требуется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95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Вариант 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Вариант 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Вариант 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9.1. Содержание варианта решения проблемы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Принятие проекта решения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Отказ от принятия проекта решения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Не повлияет на численность потенциальных адресатов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Количество расходов и доходов не изменится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9.4. Оценка расходов (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доходов) 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  <w:lang w:eastAsia="en-US"/>
              </w:rPr>
              <w:t xml:space="preserve">бюджет района, бюджет города</w:t>
            </w:r>
            <w:r>
              <w:rPr>
                <w:rFonts w:ascii="Liberation Sans" w:hAnsi="Liberation Sans" w:cs="Liberation Sans" w:eastAsia="Liberation Sans"/>
                <w:sz w:val="24"/>
                <w:szCs w:val="22"/>
              </w:rPr>
              <w:t xml:space="preserve">, связанных с введением предлагаемого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Цель будет достигнута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Цель будет достигнута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9.6. Оценка рисков неблагоприятных последствий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Отсутствует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9.7. Обоснование выбора предпочтительного варианта решения выявленной проблемы: у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тверждение п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роекта Решения Пуровской Думы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(с изменениями от 24 февраля 2022 года)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позволит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снизить административную нагрузку на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юридических лиц и индивидуальных предпринимателей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повысит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их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информированность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9.8. Детальное описание предлагаемого варианта решения проблемы: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рассмотрение и принятие представительным органом проекта Решения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«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(с изменениями от 24 февраля 2022 года)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bCs/>
          <w:sz w:val="24"/>
          <w:szCs w:val="24"/>
          <w:shd w:val="clear" w:color="auto" w:fill="ffffff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4" w:name="P672"/>
      <w:r>
        <w:rPr>
          <w:rFonts w:ascii="Liberation Sans" w:hAnsi="Liberation Sans" w:cs="Liberation Sans" w:eastAsia="Liberation Sans"/>
          <w:sz w:val="24"/>
        </w:rPr>
      </w:r>
      <w:bookmarkEnd w:id="4"/>
      <w:r>
        <w:rPr>
          <w:rFonts w:ascii="Liberation Sans" w:hAnsi="Liberation Sans" w:cs="Liberation Sans" w:eastAsia="Liberation Sans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10.1. Предполагаемая дата вступления в силу нормативного правового акта: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25.04.2024.</w:t>
      </w:r>
      <w:r>
        <w:rPr>
          <w:rFonts w:ascii="Liberation Sans" w:hAnsi="Liberation Sans" w:cs="Liberation Sans" w:eastAsia="Liberation Sans"/>
          <w:b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10.3.1. Период распространения на ранее возникшие отношения: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5" w:name="P697"/>
      <w:r>
        <w:rPr>
          <w:rFonts w:ascii="Liberation Sans" w:hAnsi="Liberation Sans" w:cs="Liberation Sans" w:eastAsia="Liberation Sans"/>
          <w:sz w:val="24"/>
        </w:rPr>
      </w:r>
      <w:bookmarkEnd w:id="5"/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отсутствует.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9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начало: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08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04.2024</w:t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окончание: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12.04.2024</w:t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Всего замечаний и предложений: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не поступило.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ind w:firstLine="708"/>
        <w:jc w:val="both"/>
        <w:spacing w:before="0" w:beforeAutospacing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utsg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@</w:t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pur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yanao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  <w:u w:val="single"/>
          <w:lang w:val="en-US"/>
        </w:rPr>
        <w:t xml:space="preserve">ru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Приложение.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– не поступили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Начальник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Департамента транспорта, связи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и систем жизнеобеспечения Администрации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Пуровского района </w:t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ab/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                 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08.04.2024</w:t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  <w:szCs w:val="24"/>
          <w:u w:val="single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_____________                       ________________   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          А.Е. Лешенко</w:t>
      </w:r>
      <w:r>
        <w:rPr>
          <w:rFonts w:ascii="Liberation Sans" w:hAnsi="Liberation Sans" w:cs="Liberation Sans" w:eastAsia="Liberation Sans"/>
          <w:sz w:val="24"/>
          <w:szCs w:val="24"/>
          <w:u w:val="single"/>
        </w:rPr>
        <w:t xml:space="preserve">_________</w:t>
      </w:r>
      <w:r>
        <w:rPr>
          <w:rFonts w:ascii="Liberation Sans" w:hAnsi="Liberation Sans" w:cs="Liberation Sans" w:eastAsia="Liberation Sans"/>
          <w:sz w:val="24"/>
          <w:u w:val="single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7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   (</w:t>
      </w:r>
      <w:r>
        <w:rPr>
          <w:rFonts w:ascii="Liberation Sans" w:hAnsi="Liberation Sans" w:cs="Liberation Sans" w:eastAsia="Liberation Sans"/>
          <w:sz w:val="24"/>
        </w:rPr>
        <w:t xml:space="preserve">дата)   </w:t>
      </w:r>
      <w:r>
        <w:rPr>
          <w:rFonts w:ascii="Liberation Sans" w:hAnsi="Liberation Sans" w:cs="Liberation Sans" w:eastAsia="Liberation Sans"/>
          <w:sz w:val="24"/>
        </w:rPr>
        <w:t xml:space="preserve">                                        (подпись)                  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  <w:t xml:space="preserve"> (инициалы, фамилия)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1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3"/>
    <w:link w:val="812"/>
    <w:uiPriority w:val="9"/>
    <w:rPr>
      <w:rFonts w:ascii="Arial" w:hAnsi="Arial" w:cs="Arial" w:eastAsia="Arial"/>
      <w:sz w:val="34"/>
    </w:rPr>
  </w:style>
  <w:style w:type="paragraph" w:styleId="636">
    <w:name w:val="Heading 3"/>
    <w:basedOn w:val="810"/>
    <w:next w:val="810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7">
    <w:name w:val="Heading 3 Char"/>
    <w:basedOn w:val="813"/>
    <w:link w:val="636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9">
    <w:name w:val="Heading 4 Char"/>
    <w:basedOn w:val="813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1">
    <w:name w:val="Heading 5 Char"/>
    <w:basedOn w:val="813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3">
    <w:name w:val="Heading 6 Char"/>
    <w:basedOn w:val="813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7 Char"/>
    <w:basedOn w:val="813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7">
    <w:name w:val="Heading 8 Char"/>
    <w:basedOn w:val="813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9">
    <w:name w:val="Heading 9 Char"/>
    <w:basedOn w:val="813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10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3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3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3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3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3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3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1">
    <w:name w:val="Heading 1"/>
    <w:basedOn w:val="810"/>
    <w:link w:val="818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12">
    <w:name w:val="Heading 2"/>
    <w:basedOn w:val="810"/>
    <w:next w:val="810"/>
    <w:link w:val="819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18" w:customStyle="1">
    <w:name w:val="Заголовок 1 Знак"/>
    <w:basedOn w:val="813"/>
    <w:link w:val="81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19" w:customStyle="1">
    <w:name w:val="Заголовок 2 Знак"/>
    <w:basedOn w:val="813"/>
    <w:link w:val="81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820" w:customStyle="1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821">
    <w:name w:val="Без интервала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revision>14</cp:revision>
  <dcterms:created xsi:type="dcterms:W3CDTF">2021-09-01T05:21:00Z</dcterms:created>
  <dcterms:modified xsi:type="dcterms:W3CDTF">2024-04-05T14:08:12Z</dcterms:modified>
</cp:coreProperties>
</file>