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ПЕРЕЧЕНЬ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вопросов для проведения публичных консультаций</w:t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erif" w:hAnsi="Liberation Serif"/>
          <w:szCs w:val="20"/>
          <w:lang w:eastAsia="ru-RU"/>
        </w:rPr>
      </w:pPr>
      <w:r>
        <w:rPr>
          <w:rFonts w:ascii="Liberation Serif" w:hAnsi="Liberation Serif"/>
          <w:szCs w:val="20"/>
          <w:lang w:eastAsia="ru-RU"/>
        </w:rPr>
      </w:r>
      <w:r/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адрес: </w:t>
            </w:r>
            <w:r>
              <w:rPr>
                <w:rFonts w:ascii="Liberation Serif" w:hAnsi="Liberation Serif"/>
              </w:rPr>
              <w:t xml:space="preserve">avromanenko@purovskiydo.ru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не позднее 15.03.2023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  <w:r/>
          </w:p>
        </w:tc>
      </w:tr>
      <w:tr>
        <w:trPr>
          <w:trHeight w:val="70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Контактная информация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Департамент образования Администрации Пуровского района ________________________________________________________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(наименование организации)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  <w:p>
            <w:pPr>
              <w:ind w:firstLine="3898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бразовани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е</w:t>
            </w:r>
            <w:r/>
          </w:p>
          <w:p>
            <w:pPr>
              <w:ind w:firstLine="1378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________________________________________________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________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(сфера деятельности организации)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Романенко Анна Витальевна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________________________________________________________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(Ф.И.О. контактного лица)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8 (34997) 6-06-22                  ________________________________________________________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(номер контактного телефона)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 xml:space="preserve">avromanenko@purovskiydo.ru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________________________________________________________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(адрес электронной почты)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1. На решение какой проблемы, на Ваш взгляд, направлено предлагаемое правовое регулирование? Актуальна ли данная проблема сегодня?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2. Обосновал ли р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азработчик необходимость правового вмешательства? Соответствует ли цель предлагаемого правовое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3. Является ли выбранный вариант решения проблемы оптимальны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 (или) более эффективны?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5. Повлияет ли введение предлагаемого правового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имеются ли технические ошибки;</w:t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приводит ли исполн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создает ли исполнение положений пра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8. К каким последствиям может привести принятие нового правового регулирования в ча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пред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10. Какие, на Ваш взгляд, могут возникнуть проблемы и трудности в осуществлении контроля за соблюдением треб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Предусмотрен ли в нем механизм защиты прав хозяйствующих субъектов?</w:t>
            </w:r>
            <w:r/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13. Специальные вопросы, касающиеся конкретных положений и норм предлагаемого правового регулирования, которые разработчику необходимо прояснить.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Иные предложения и замечания, которые, по Вашему мнению, целесообразно учесть в рамках оценки регулирующего воздействия.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Cs w:val="20"/>
                <w:lang w:eastAsia="ru-RU"/>
              </w:rPr>
            </w:pPr>
            <w:r>
              <w:rPr>
                <w:rFonts w:ascii="Liberation Serif" w:hAnsi="Liberation Serif"/>
                <w:szCs w:val="20"/>
                <w:lang w:eastAsia="ru-RU"/>
              </w:rPr>
            </w:r>
            <w:r/>
          </w:p>
        </w:tc>
      </w:tr>
    </w:tbl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200" w:line="276" w:lineRule="auto"/>
    </w:pPr>
    <w:rPr>
      <w:lang w:eastAsia="en-US"/>
    </w:rPr>
  </w:style>
  <w:style w:type="character" w:styleId="813" w:default="1">
    <w:name w:val="Default Paragraph Font"/>
    <w:uiPriority w:val="99"/>
    <w:semiHidden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dropdown-user-name__first-letter"/>
    <w:basedOn w:val="813"/>
    <w:uiPriority w:val="99"/>
    <w:rPr>
      <w:rFonts w:cs="Times New Roman"/>
    </w:rPr>
  </w:style>
  <w:style w:type="paragraph" w:styleId="817">
    <w:name w:val="Balloon Text"/>
    <w:basedOn w:val="812"/>
    <w:link w:val="818"/>
    <w:uiPriority w:val="99"/>
    <w:semiHidden/>
    <w:rPr>
      <w:rFonts w:ascii="Tahoma" w:hAnsi="Tahoma" w:cs="Tahoma"/>
      <w:sz w:val="16"/>
      <w:szCs w:val="16"/>
    </w:rPr>
  </w:style>
  <w:style w:type="character" w:styleId="818" w:customStyle="1">
    <w:name w:val="Balloon Text Char"/>
    <w:basedOn w:val="813"/>
    <w:link w:val="817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revision>5</cp:revision>
  <dcterms:created xsi:type="dcterms:W3CDTF">2019-09-09T10:03:00Z</dcterms:created>
  <dcterms:modified xsi:type="dcterms:W3CDTF">2023-03-02T05:07:27Z</dcterms:modified>
</cp:coreProperties>
</file>