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Перевозчики, транспортные компании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jc w:val="both"/>
        <w:spacing w:lineRule="auto" w:line="240" w:after="100" w:afterAutospacing="1" w:before="100" w:beforeAutospacing="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Инфраструктура транспорта представлена: автомобильным, речным (в летнее время) и воздушным транспортом.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083"/>
        <w:gridCol w:w="2547"/>
        <w:gridCol w:w="4536"/>
      </w:tblGrid>
      <w:tr>
        <w:trPr>
          <w:trHeight w:val="589"/>
        </w:trPr>
        <w:tc>
          <w:tcPr>
            <w:shd w:val="clear" w:fill="auto" w:color="auto"/>
            <w:tcW w:w="5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08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Тип предприятия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54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Наименование предприятия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45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Адрес, контакты, справочные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1736"/>
        </w:trPr>
        <w:tc>
          <w:tcPr>
            <w:shd w:val="clear" w:fill="auto" w:color="auto"/>
            <w:tcW w:w="5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083" w:type="dxa"/>
            <w:textDirection w:val="lrTb"/>
            <w:noWrap w:val="false"/>
          </w:tcPr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Автомобильный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(регулярные пассажирские перевозки)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547" w:type="dxa"/>
            <w:textDirection w:val="lrTb"/>
            <w:noWrap w:val="false"/>
          </w:tcPr>
          <w:p>
            <w:pPr>
              <w:pStyle w:val="816"/>
              <w:contextualSpacing w:val="false"/>
              <w:ind w:firstLine="0"/>
              <w:jc w:val="left"/>
              <w:rPr>
                <w:rFonts w:ascii="Liberation Sans" w:hAnsi="Liberation Sans" w:cs="Liberation Sans" w:eastAsia="Liberation Sans"/>
                <w:sz w:val="24"/>
              </w:rPr>
              <w:suppressLineNumbers w:val="0"/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Муниципальное унитарное предприятие «Дорожно-строительное управление»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contextualSpacing w:val="false"/>
              <w:ind w:firstLine="0"/>
              <w:jc w:val="left"/>
              <w:rPr>
                <w:rFonts w:ascii="Liberation Sans" w:hAnsi="Liberation Sans" w:cs="Liberation Sans" w:eastAsia="Liberation Sans"/>
                <w:sz w:val="24"/>
              </w:rPr>
              <w:suppressLineNumbers w:val="0"/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(МУП «ДСУ»)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629850, ЯНАО, Пуровский район,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г. Тарко-Сале,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зона Промышленная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Тел. 8(34997) 2-61-75, 2-63-41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43"/>
        </w:trPr>
        <w:tc>
          <w:tcPr>
            <w:shd w:val="clear" w:fill="auto" w:color="auto"/>
            <w:tcW w:w="5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083" w:type="dxa"/>
            <w:textDirection w:val="lrTb"/>
            <w:noWrap w:val="false"/>
          </w:tcPr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Речной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547" w:type="dxa"/>
            <w:textDirection w:val="lrTb"/>
            <w:noWrap w:val="false"/>
          </w:tcPr>
          <w:p>
            <w:pPr>
              <w:pStyle w:val="816"/>
              <w:ind w:firstLine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Акционерное общество «Северречфлот» (АО «Северречфлот»)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628001, ХМАО-Югра, г. Ханты-Мансийск, ул. Бориса Щербины, дом 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none"/>
              </w:rPr>
              <w:t xml:space="preserve">Тел. 8(3467) 33-94-77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43"/>
        </w:trPr>
        <w:tc>
          <w:tcPr>
            <w:shd w:val="clear" w:fill="auto" w:color="auto"/>
            <w:tcW w:w="5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083" w:type="dxa"/>
            <w:textDirection w:val="lrTb"/>
            <w:noWrap w:val="false"/>
          </w:tcPr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Авиа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547" w:type="dxa"/>
            <w:textDirection w:val="lrTb"/>
            <w:noWrap w:val="false"/>
          </w:tcPr>
          <w:p>
            <w:pPr>
              <w:spacing w:after="167"/>
              <w:shd w:val="clear" w:fill="FFFFFF" w:color="auto"/>
              <w:rPr>
                <w:rFonts w:ascii="Liberation Sans" w:hAnsi="Liberation Sans" w:cs="Liberation Sans" w:eastAsia="Liberation Sans"/>
                <w:color w:val="282828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ООО «АВИАЦИОННАЯ КОМПАНИЯ «ЯМАЛ» Салехардский филиал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629003, ЯНАО, г. Салехард, ул. Авиационная, владение 27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Тел. 8(34922) 2-52-51, 2-52-52</w:t>
            </w: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790"/>
        </w:trPr>
        <w:tc>
          <w:tcPr>
            <w:shd w:val="clear" w:fill="auto" w:color="auto"/>
            <w:tcW w:w="5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083" w:type="dxa"/>
            <w:textDirection w:val="lrTb"/>
            <w:noWrap w:val="false"/>
          </w:tcPr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Транспортные компании: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2547" w:type="dxa"/>
            <w:textDirection w:val="lrTb"/>
            <w:noWrap w:val="false"/>
          </w:tcPr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Kit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НоваТранс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Энергия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629850, ЯНАО, Пуровский район,    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г. Тарко-Сале,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зона Промышленная, промбаза БПО, 9, строение, 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Тел.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shd w:val="clear" w:fill="FFFFFF" w:color="auto"/>
              </w:rPr>
              <w:t xml:space="preserve">8 (800) 234-59-60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Тел. 8 (34997) 2-89-77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629850, ЯНАО, Пуровский район,     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г. Тарко-Сале, промбаза ТСНГ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Тел. 8(922) 287-34-50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  <w:shd w:val="clear" w:fill="FFFFFF" w:color="auto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none"/>
                <w:shd w:val="clear" w:fill="FFFFFF" w:color="auto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629851, ЯНАО, Пуровский район,     г. Тарко-Сале,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shd w:val="clear" w:fill="FFFFFF" w:color="auto"/>
              </w:rPr>
              <w:t xml:space="preserve">ул. Промышленная, 16А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2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Тел.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  <w:shd w:val="clear" w:fill="FFFFFF" w:color="auto"/>
              </w:rPr>
              <w:t xml:space="preserve">8 (800) 700-70-00, 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  <w:t xml:space="preserve">8(961) 558 00-04, 8(922) 068-21-81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jc w:val="both"/>
        <w:spacing w:lineRule="auto" w:line="240" w:after="0" w:before="100" w:beforeAutospacing="1"/>
        <w:rPr>
          <w:rFonts w:ascii="Liberation Sans" w:hAnsi="Liberation Sans" w:cs="Liberation Sans" w:eastAsia="Liberation Sans"/>
          <w:color w:val="828282"/>
          <w:sz w:val="24"/>
          <w:szCs w:val="24"/>
        </w:rPr>
      </w:pPr>
      <w:r>
        <w:rPr>
          <w:rFonts w:ascii="Liberation Sans" w:hAnsi="Liberation Sans" w:cs="Liberation Sans" w:eastAsia="Liberation Sans"/>
          <w:color w:val="828282"/>
          <w:sz w:val="24"/>
          <w:szCs w:val="24"/>
          <w:lang w:eastAsia="ru-RU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Fill="accent1" w:themeFillTint="34" w:themeColor="accent1" w:themeTint="34"/>
    </w:tblPr>
    <w:tblStylePr w:type="band1Horz">
      <w:tcPr>
        <w:shd w:val="clear" w:color="FFFFFF" w:fill="ADC5E0" w:themeFill="accent1" w:themeFillTint="75" w:themeColor="accent1" w:themeTint="75"/>
      </w:tcPr>
    </w:tblStylePr>
    <w:tblStylePr w:type="band1Vert">
      <w:tcPr>
        <w:shd w:val="clear" w:color="FFFFFF" w:fill="ADC5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Fill="accent2" w:themeFillTint="32" w:themeColor="accent2" w:themeTint="32"/>
    </w:tblPr>
    <w:tblStylePr w:type="band1Horz">
      <w:tcPr>
        <w:shd w:val="clear" w:color="FFFFFF" w:fill="E1ADAC" w:themeFill="accent2" w:themeFillTint="75" w:themeColor="accent2" w:themeTint="75"/>
      </w:tcPr>
    </w:tblStylePr>
    <w:tblStylePr w:type="band1Vert">
      <w:tcPr>
        <w:shd w:val="clear" w:color="FFFFFF" w:fill="E1ADAC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Fill="accent3" w:themeFillTint="34" w:themeColor="accent3" w:themeTint="34"/>
    </w:tblPr>
    <w:tblStylePr w:type="band1Horz">
      <w:tcPr>
        <w:shd w:val="clear" w:color="FFFFFF" w:fill="D1DFB2" w:themeFill="accent3" w:themeFillTint="75" w:themeColor="accent3" w:themeTint="75"/>
      </w:tcPr>
    </w:tblStylePr>
    <w:tblStylePr w:type="band1Vert">
      <w:tcPr>
        <w:shd w:val="clear" w:color="FFFFFF" w:fill="D1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Fill="accent4" w:themeFillTint="34" w:themeColor="accent4" w:themeTint="34"/>
    </w:tblPr>
    <w:tblStylePr w:type="band1Horz">
      <w:tcPr>
        <w:shd w:val="clear" w:color="FFFFFF" w:fill="C4B7D4" w:themeFill="accent4" w:themeFillTint="75" w:themeColor="accent4" w:themeTint="75"/>
      </w:tcPr>
    </w:tblStylePr>
    <w:tblStylePr w:type="band1Vert">
      <w:tcPr>
        <w:shd w:val="clear" w:color="FFFFFF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Fill="accent5" w:themeFillTint="34" w:themeColor="accent5" w:themeTint="34"/>
    </w:tblPr>
    <w:tblStylePr w:type="band1Horz">
      <w:tcPr>
        <w:shd w:val="clear" w:color="FFFFFF" w:fill="ABD9E4" w:themeFill="accent5" w:themeFillTint="75" w:themeColor="accent5" w:themeTint="75"/>
      </w:tcPr>
    </w:tblStylePr>
    <w:tblStylePr w:type="band1Vert">
      <w:tcPr>
        <w:shd w:val="clear" w:color="FFFFFF" w:fill="ABD9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Fill="accent6" w:themeFillTint="34" w:themeColor="accent6" w:themeTint="34"/>
    </w:tblPr>
    <w:tblStylePr w:type="band1Horz">
      <w:tcPr>
        <w:shd w:val="clear" w:color="FFFFFF" w:fill="FBCDA8" w:themeFill="accent6" w:themeFillTint="75" w:themeColor="accent6" w:themeTint="75"/>
      </w:tcPr>
    </w:tblStylePr>
    <w:tblStylePr w:type="band1Vert">
      <w:tcPr>
        <w:shd w:val="clear" w:color="FFFFFF" w:fill="FBCD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Fill="accent1" w:themeColor="accent1"/>
    </w:tblPr>
    <w:tblStylePr w:type="band1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Fill="accent2" w:themeFillTint="97" w:themeColor="accent2" w:themeTint="97"/>
    </w:tblPr>
    <w:tblStylePr w:type="band1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Fill="accent3" w:themeFillTint="98" w:themeColor="accent3" w:themeTint="98"/>
    </w:tblPr>
    <w:tblStylePr w:type="band1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Fill="accent4" w:themeFillTint="9A" w:themeColor="accent4" w:themeTint="9A"/>
    </w:tblPr>
    <w:tblStylePr w:type="band1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Fill="accent5" w:themeFillTint="9A" w:themeColor="accent5" w:themeTint="9A"/>
    </w:tblPr>
    <w:tblStylePr w:type="band1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Fill="accent6" w:themeFillTint="98" w:themeColor="accent6" w:themeTint="98"/>
    </w:tblPr>
    <w:tblStylePr w:type="band1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CB7AE7C-0F42-41A7-A256-1058147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revision>11</cp:revision>
  <dcterms:created xsi:type="dcterms:W3CDTF">2020-08-21T10:02:00Z</dcterms:created>
  <dcterms:modified xsi:type="dcterms:W3CDTF">2023-12-04T05:14:45Z</dcterms:modified>
</cp:coreProperties>
</file>